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D863C1" w14:paraId="462E2E67" w14:textId="15AE438D">
      <w:pPr>
        <w:rPr>
          <w:rFonts w:eastAsia="Times New Roman"/>
          <w:b/>
          <w:bCs/>
          <w:lang w:val="de" w:eastAsia="de"/>
        </w:rPr>
      </w:pPr>
      <w:r w:rsidRPr="002814D6" w:rsidR="002814D6">
        <w:rPr>
          <w:b/>
          <w:bCs/>
          <w:lang w:val="de" w:eastAsia="de"/>
        </w:rPr>
        <w:t xml:space="preserve">Interruptor manual para la </w:t>
      </w:r>
      <w:r w:rsidRPr="002814D6" w:rsidR="002814D6">
        <w:rPr>
          <w:b/>
          <w:bCs/>
          <w:lang w:val="de" w:eastAsia="de"/>
        </w:rPr>
        <w:t xml:space="preserve">desconexión de la red trifásica y la conmutación al modo de reserva</w:t>
      </w:r>
    </w:p>
    <w:p w:rsidR="00DD0E70" w:rsidRDefault="00DD0E70" w14:paraId="462E2E68" w14:textId="77777777">
      <w:pPr>
        <w:rPr>
          <w:rFonts w:eastAsia="Times New Roman"/>
          <w:b/>
          <w:bCs/>
          <w:lang w:val="de" w:eastAsia="de"/>
        </w:rPr>
      </w:pPr>
    </w:p>
    <w:p w:rsidR="002814D6" w:rsidP="00DD0E70" w:rsidRDefault="002814D6" w14:paraId="5318D5C9" w14:textId="0AFD1E01">
      <w:pPr>
        <w:autoSpaceDE w:val="0"/>
        <w:autoSpaceDN w:val="0"/>
        <w:adjustRightInd w:val="0"/>
        <w:rPr>
          <w:rFonts w:cs="Arial"/>
          <w:szCs w:val="20"/>
          <w:lang w:val="de" w:eastAsia="de"/>
        </w:rPr>
      </w:pPr>
      <w:r>
        <w:t xml:space="preserve">Conmutador manual de red trifásico para los inversores de la serie PLENTICORE G3, detección de rotura de cable integrada para la señal de evaluación de la posición del conmutador, instalación compacta y que ahorra espacio con 8TE, posibilidad de instalación en el subdistribuidor existente o en una carcasa separada, una salida para cada carga en modo de reserva y en funcionamiento de red, adecuado para </w:t>
      </w:r>
      <w:r>
        <w:t xml:space="preserve">conexiones domésticas </w:t>
      </w:r>
      <w:r w:rsidR="00A206DF">
        <w:t xml:space="preserve">trifásicas</w:t>
      </w:r>
      <w:bookmarkStart w:name="_GoBack" w:id="0"/>
      <w:bookmarkEnd w:id="0"/>
      <w:r>
        <w:t xml:space="preserve"> de hasta 63A, posibilidad de conexión de una réplica de punto neutro local.</w:t>
      </w:r>
    </w:p>
    <w:p w:rsidRPr="002814D6" w:rsidR="00DD0E70" w:rsidP="002814D6" w:rsidRDefault="00DD0E70" w14:paraId="462E2E6B" w14:textId="40A4EEF9">
      <w:pPr>
        <w:autoSpaceDE w:val="0"/>
        <w:autoSpaceDN w:val="0"/>
        <w:adjustRightInd w:val="0"/>
        <w:rPr>
          <w:rFonts w:cs="Arial"/>
          <w:szCs w:val="20"/>
          <w:lang w:val="de" w:eastAsia="de"/>
        </w:rPr>
      </w:pPr>
    </w:p>
    <w:p w:rsidRPr="00DD0E70" w:rsidR="00DD0E70" w:rsidP="00DD0E70" w:rsidRDefault="00DD0E70" w14:paraId="462E2E6C"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Fabricante/Tipo</w:t>
      </w:r>
    </w:p>
    <w:p w:rsidRPr="00DD0E70" w:rsidR="00DD0E70" w:rsidP="00DD0E70" w:rsidRDefault="00DD0E70" w14:paraId="462E2E6D" w14:textId="78D1BA9C">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Kostal / </w:t>
      </w:r>
      <w:r w:rsidRPr="00DD0E70">
        <w:rPr>
          <w:rFonts w:eastAsia="Times New Roman" w:cs="Arial"/>
          <w:szCs w:val="20"/>
          <w:lang w:val="de" w:eastAsia="de"/>
        </w:rPr>
        <w:t xml:space="preserve">BackUp-Switch</w:t>
      </w:r>
    </w:p>
    <w:p w:rsidRPr="00DD0E70" w:rsidR="00DD0E70" w:rsidP="00DD0E70" w:rsidRDefault="00DD0E70" w14:paraId="462E2E6E"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o equivalente.</w:t>
      </w:r>
    </w:p>
    <w:p w:rsidRPr="00DD0E70" w:rsidR="00DD0E70" w:rsidP="00DD0E70" w:rsidRDefault="00DD0E70" w14:paraId="462E2E6F"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Fabricante/Tipo</w:t>
      </w:r>
    </w:p>
    <w:p w:rsidRPr="00DD0E70" w:rsidR="00DD0E70" w:rsidP="00DD0E70" w:rsidRDefault="00DD0E70" w14:paraId="462E2E70"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w:t>
      </w:r>
    </w:p>
    <w:p w:rsidR="00DD0E70" w:rsidP="00DD0E70" w:rsidRDefault="00DD0E70" w14:paraId="462E2E71" w14:textId="77777777">
      <w:r w:rsidRPr="00DD0E70">
        <w:rPr>
          <w:rFonts w:eastAsia="Times New Roman" w:cs="Arial"/>
          <w:szCs w:val="20"/>
          <w:lang w:val="de" w:eastAsia="de"/>
        </w:rPr>
        <w:t xml:space="preserve">a introducir por el licitador.</w:t>
      </w:r>
    </w:p>
    <w:sectPr w:rsidR="00DD0E7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3C1" w:rsidP="00D863C1" w:rsidRDefault="00D863C1" w14:paraId="6E9C01AF" w14:textId="77777777">
      <w:r>
        <w:separator/>
      </w:r>
    </w:p>
  </w:endnote>
  <w:endnote w:type="continuationSeparator" w:id="0">
    <w:p w:rsidR="00D863C1" w:rsidP="00D863C1" w:rsidRDefault="00D863C1" w14:paraId="6E8EC21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3C1" w:rsidP="00D863C1" w:rsidRDefault="00D863C1" w14:paraId="7F3C09C8" w14:textId="77777777">
      <w:r>
        <w:separator/>
      </w:r>
    </w:p>
  </w:footnote>
  <w:footnote w:type="continuationSeparator" w:id="0">
    <w:p w:rsidR="00D863C1" w:rsidP="00D863C1" w:rsidRDefault="00D863C1" w14:paraId="667FE4B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70"/>
    <w:rsid w:val="00111F51"/>
    <w:rsid w:val="002814D6"/>
    <w:rsid w:val="0070354D"/>
    <w:rsid w:val="00A206DF"/>
    <w:rsid w:val="00D21AEF"/>
    <w:rsid w:val="00D863C1"/>
    <w:rsid w:val="00DD0E7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E2E67"/>
  <w15:chartTrackingRefBased/>
  <w15:docId w15:val="{E3B7CAB7-0282-4CE6-BAAC-2FA7240F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863C1"/>
    <w:pPr>
      <w:tabs>
        <w:tab w:val="center" w:pos="4536"/>
        <w:tab w:val="right" w:pos="9072"/>
      </w:tabs>
    </w:pPr>
  </w:style>
  <w:style w:type="character" w:customStyle="1" w:styleId="KopfzeileZchn">
    <w:name w:val="Kopfzeile Zchn"/>
    <w:basedOn w:val="Absatz-Standardschriftart"/>
    <w:link w:val="Kopfzeile"/>
    <w:uiPriority w:val="99"/>
    <w:rsid w:val="00D863C1"/>
    <w:rPr>
      <w:rFonts w:ascii="Arial" w:hAnsi="Arial"/>
      <w:sz w:val="20"/>
    </w:rPr>
  </w:style>
  <w:style w:type="paragraph" w:styleId="Fuzeile">
    <w:name w:val="footer"/>
    <w:basedOn w:val="Standard"/>
    <w:link w:val="FuzeileZchn"/>
    <w:uiPriority w:val="99"/>
    <w:unhideWhenUsed/>
    <w:rsid w:val="00D863C1"/>
    <w:pPr>
      <w:tabs>
        <w:tab w:val="center" w:pos="4536"/>
        <w:tab w:val="right" w:pos="9072"/>
      </w:tabs>
    </w:pPr>
  </w:style>
  <w:style w:type="character" w:customStyle="1" w:styleId="FuzeileZchn">
    <w:name w:val="Fußzeile Zchn"/>
    <w:basedOn w:val="Absatz-Standardschriftart"/>
    <w:link w:val="Fuzeile"/>
    <w:uiPriority w:val="99"/>
    <w:rsid w:val="00D863C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221C22-F886-425F-AB8A-35903931F47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052642ee-3abd-4143-a94f-bb1c55d63100"/>
    <ds:schemaRef ds:uri="http://www.w3.org/XML/1998/namespace"/>
  </ds:schemaRefs>
</ds:datastoreItem>
</file>

<file path=customXml/itemProps2.xml><?xml version="1.0" encoding="utf-8"?>
<ds:datastoreItem xmlns:ds="http://schemas.openxmlformats.org/officeDocument/2006/customXml" ds:itemID="{1E1AF6F0-3EC5-45C4-8B28-F69D89411EB7}">
  <ds:schemaRefs>
    <ds:schemaRef ds:uri="http://schemas.microsoft.com/sharepoint/v3/contenttype/forms"/>
  </ds:schemaRefs>
</ds:datastoreItem>
</file>

<file path=customXml/itemProps3.xml><?xml version="1.0" encoding="utf-8"?>
<ds:datastoreItem xmlns:ds="http://schemas.openxmlformats.org/officeDocument/2006/customXml" ds:itemID="{C2648598-E5A8-4E86-9A9D-EF26EB327277}">
  <ds:schemaRefs>
    <ds:schemaRef ds:uri="Microsoft.SharePoint.Taxonomy.ContentTypeSync"/>
  </ds:schemaRefs>
</ds:datastoreItem>
</file>

<file path=customXml/itemProps4.xml><?xml version="1.0" encoding="utf-8"?>
<ds:datastoreItem xmlns:ds="http://schemas.openxmlformats.org/officeDocument/2006/customXml" ds:itemID="{D3F0ACD6-DDBC-42DA-89FE-2F8E3DEFF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604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docId:C3E680558E7C097EF349817CD4BE8203</keywords>
  <dc:description/>
  <lastModifiedBy>Schmalenberg, Andreas</lastModifiedBy>
  <revision>4</revision>
  <dcterms:created xsi:type="dcterms:W3CDTF">2021-12-09T10:31:00.0000000Z</dcterms:created>
  <dcterms:modified xsi:type="dcterms:W3CDTF">2025-06-05T07:52:00.0000000Z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