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12AEE" w:rsidR="00B12AEE" w:rsidP="00AA4901" w:rsidRDefault="006241CC" w14:paraId="45CC0088" w14:textId="456A1A25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6241CC">
        <w:rPr>
          <w:rFonts w:cs="Arial"/>
          <w:b/>
          <w:bCs/>
          <w:szCs w:val="20"/>
          <w:lang w:val="de" w:eastAsia="de"/>
        </w:rPr>
        <w:t xml:space="preserve">Inversor fotovoltaico, trifásico, </w:t>
      </w:r>
      <w:r w:rsidR="00B12AEE">
        <w:rPr>
          <w:rFonts w:cs="Arial"/>
          <w:b/>
          <w:bCs/>
          <w:szCs w:val="20"/>
          <w:lang w:val="de" w:eastAsia="de"/>
        </w:rPr>
        <w:t xml:space="preserve">4,0...7,0 </w:t>
      </w:r>
      <w:r w:rsidRPr="006241CC">
        <w:rPr>
          <w:rFonts w:cs="Arial"/>
          <w:b/>
          <w:bCs/>
          <w:szCs w:val="20"/>
          <w:lang w:val="de" w:eastAsia="de"/>
        </w:rPr>
        <w:t xml:space="preserve">kVA, rastreador 3-MPP</w:t>
      </w:r>
    </w:p>
    <w:p w:rsidRPr="00B12AEE" w:rsidR="00B12AEE" w:rsidP="00B12AEE" w:rsidRDefault="00B12AEE" w14:paraId="4DE8B3A1" w14:textId="77777777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</w:p>
    <w:p w:rsidR="006241CC" w:rsidP="00B12AEE" w:rsidRDefault="00AA4901" w14:paraId="41889485" w14:textId="4CF20503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6241CC" w:rsidR="006241CC">
        <w:rPr>
          <w:rFonts w:cs="Arial"/>
          <w:szCs w:val="20"/>
          <w:lang w:val="de" w:eastAsia="de"/>
        </w:rPr>
        <w:t xml:space="preserve">Inversor </w:t>
      </w:r>
      <w:r w:rsidR="00791F8F">
        <w:rPr>
          <w:rFonts w:cs="Arial"/>
          <w:szCs w:val="20"/>
          <w:lang w:val="de" w:eastAsia="de"/>
        </w:rPr>
        <w:t xml:space="preserve">trifásico </w:t>
      </w:r>
      <w:r>
        <w:rPr>
          <w:rFonts w:cs="Arial"/>
          <w:szCs w:val="20"/>
          <w:lang w:val="de" w:eastAsia="de"/>
        </w:rPr>
        <w:t xml:space="preserve">sem transformador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para sistemas fotovoltaicos com 3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seguidores </w:t>
      </w:r>
      <w:r w:rsidR="00B12AEE">
        <w:rPr>
          <w:rFonts w:eastAsia="Times New Roman" w:cs="Arial"/>
          <w:szCs w:val="20"/>
          <w:lang w:val="de" w:eastAsia="de"/>
        </w:rPr>
        <w:t xml:space="preserve">MPP </w:t>
      </w:r>
      <w:r w:rsidRPr="00AE4A88" w:rsidR="00AE4A88">
        <w:rPr>
          <w:rFonts w:eastAsia="Times New Roman" w:cs="Arial"/>
          <w:szCs w:val="20"/>
          <w:lang w:val="de" w:eastAsia="de"/>
        </w:rPr>
        <w:t xml:space="preserve">(corrente MPPT máxima de 17A cada)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</w:t>
      </w:r>
      <w:r w:rsidRPr="00B12AEE">
        <w:rPr>
          <w:rFonts w:cs="Arial"/>
          <w:szCs w:val="20"/>
          <w:lang w:val="de" w:eastAsia="de"/>
        </w:rPr>
        <w:t xml:space="preserve">pode ser utilizado universalmente como inversor solar, híbrido ou de bateria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</w:t>
      </w:r>
      <w:r w:rsidR="00672D4A">
        <w:rPr>
          <w:rFonts w:eastAsia="Times New Roman" w:cs="Arial"/>
          <w:szCs w:val="20"/>
          <w:lang w:val="de" w:eastAsia="de"/>
        </w:rPr>
        <w:t xml:space="preserve">extensão de potência opcional </w:t>
      </w:r>
      <w:r w:rsidRPr="00B12AEE">
        <w:rPr>
          <w:rFonts w:cs="Arial"/>
          <w:szCs w:val="20"/>
          <w:lang w:val="de" w:eastAsia="de"/>
        </w:rPr>
        <w:t xml:space="preserve">com código de ativação</w:t>
      </w:r>
      <w:r w:rsidR="00672D4A">
        <w:rPr>
          <w:rFonts w:eastAsia="Times New Roman" w:cs="Arial"/>
          <w:szCs w:val="20"/>
          <w:lang w:val="de" w:eastAsia="de"/>
        </w:rPr>
        <w:t xml:space="preserve">, </w:t>
      </w:r>
      <w:r w:rsidRPr="00B12AEE">
        <w:rPr>
          <w:rFonts w:cs="Arial"/>
          <w:szCs w:val="20"/>
          <w:lang w:val="de" w:eastAsia="de"/>
        </w:rPr>
        <w:t xml:space="preserve">ativação opcional do 3º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seguidor MPP como entrada de bateria para ligação de </w:t>
      </w:r>
      <w:r w:rsidRPr="00B12AEE">
        <w:rPr>
          <w:rFonts w:cs="Arial"/>
          <w:szCs w:val="20"/>
          <w:lang w:val="de" w:eastAsia="de"/>
        </w:rPr>
        <w:t xml:space="preserve">um sistema de armazenamento HV compatível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preparado para carregamento adicional da bateria através de fontes de energia AC existentes</w:t>
      </w:r>
      <w:r w:rsidRPr="00AE4A88" w:rsidR="00AE4A88">
        <w:rPr>
          <w:rFonts w:eastAsia="Times New Roman" w:cs="Arial"/>
          <w:szCs w:val="20"/>
          <w:lang w:val="de" w:eastAsia="de"/>
        </w:rPr>
        <w:t xml:space="preserve">. </w:t>
      </w:r>
      <w:r w:rsidRPr="00B12AEE">
        <w:rPr>
          <w:rFonts w:cs="Arial"/>
          <w:szCs w:val="20"/>
          <w:lang w:val="de" w:eastAsia="de"/>
        </w:rPr>
        <w:t xml:space="preserve">MPP tracker como entrada de bateria para ligação de </w:t>
      </w:r>
      <w:r>
        <w:rPr>
          <w:rFonts w:cs="Arial"/>
          <w:szCs w:val="20"/>
          <w:lang w:val="de" w:eastAsia="de"/>
        </w:rPr>
        <w:t xml:space="preserve">um sistema de armazenamento HV compatível, </w:t>
      </w:r>
      <w:r w:rsidRPr="00B12AEE">
        <w:rPr>
          <w:rFonts w:cs="Arial"/>
          <w:szCs w:val="20"/>
          <w:lang w:val="de" w:eastAsia="de"/>
        </w:rPr>
        <w:t xml:space="preserve">preparado para carregamento adicional de bateria através de </w:t>
      </w:r>
      <w:r w:rsidRPr="00B12AEE">
        <w:rPr>
          <w:rFonts w:cs="Arial"/>
          <w:szCs w:val="20"/>
          <w:lang w:val="de" w:eastAsia="de"/>
        </w:rPr>
        <w:t xml:space="preserve">fontes de energia AC </w:t>
      </w:r>
      <w:r>
        <w:rPr>
          <w:rFonts w:cs="Arial"/>
          <w:szCs w:val="20"/>
          <w:lang w:val="de" w:eastAsia="de"/>
        </w:rPr>
        <w:t xml:space="preserve">existentes</w:t>
      </w:r>
      <w:r>
        <w:rPr>
          <w:rFonts w:cs="Arial"/>
          <w:szCs w:val="20"/>
          <w:lang w:val="de" w:eastAsia="de"/>
        </w:rPr>
        <w:t xml:space="preserve">, </w:t>
      </w:r>
      <w:r w:rsidRPr="00B12AEE" w:rsidR="00A47FC4">
        <w:rPr>
          <w:rFonts w:cs="Arial"/>
          <w:szCs w:val="20"/>
          <w:lang w:val="de" w:eastAsia="de"/>
        </w:rPr>
        <w:t xml:space="preserve">operação de energia de reserva com comutador manual (KOSTAL BackUp Switch) </w:t>
      </w:r>
      <w:r w:rsidR="00A47FC4">
        <w:rPr>
          <w:rFonts w:cs="Arial"/>
          <w:szCs w:val="20"/>
          <w:lang w:val="de" w:eastAsia="de"/>
        </w:rPr>
        <w:t xml:space="preserve">ou </w:t>
      </w:r>
      <w:r w:rsidRPr="00B12AEE" w:rsidR="00A47FC4">
        <w:rPr>
          <w:rFonts w:cs="Arial"/>
          <w:szCs w:val="20"/>
          <w:lang w:val="de" w:eastAsia="de"/>
        </w:rPr>
        <w:t xml:space="preserve">dispositivo de comutação automática </w:t>
      </w:r>
      <w:r w:rsidR="00A47FC4">
        <w:rPr>
          <w:rFonts w:cs="Arial"/>
          <w:szCs w:val="20"/>
          <w:lang w:val="de" w:eastAsia="de"/>
        </w:rPr>
        <w:t xml:space="preserve">possível, </w:t>
      </w:r>
      <w:r w:rsidR="00A47FC4">
        <w:rPr>
          <w:rFonts w:eastAsia="Times New Roman" w:cs="Arial"/>
          <w:szCs w:val="20"/>
          <w:lang w:val="de" w:eastAsia="de"/>
        </w:rPr>
        <w:t xml:space="preserve">módulo de proteção contra sobretensão DC tipo 2 pode ser integrado como opção,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com registador de dados</w:t>
      </w:r>
      <w:r w:rsidR="00672D4A">
        <w:rPr>
          <w:rFonts w:eastAsia="Times New Roman" w:cs="Arial"/>
          <w:szCs w:val="20"/>
          <w:lang w:val="de" w:eastAsia="de"/>
        </w:rPr>
        <w:t xml:space="preserve">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adequado para instalação interior e exterior</w:t>
      </w:r>
      <w:r w:rsidR="00AE4A88">
        <w:rPr>
          <w:rFonts w:eastAsia="Times New Roman" w:cs="Arial"/>
          <w:szCs w:val="20"/>
          <w:lang w:val="de" w:eastAsia="de"/>
        </w:rPr>
        <w:t xml:space="preserve">, tensão de entrada máx. 1000 V</w:t>
      </w:r>
      <w:r w:rsidR="00AE4A88">
        <w:rPr>
          <w:rFonts w:eastAsia="Times New Roman" w:cs="Arial"/>
          <w:szCs w:val="20"/>
          <w:lang w:val="de" w:eastAsia="de"/>
        </w:rPr>
        <w:t xml:space="preserve">, ligação à rede 1000 V</w:t>
      </w:r>
      <w:r w:rsidR="00AE4A88">
        <w:rPr>
          <w:rFonts w:eastAsia="Times New Roman" w:cs="Arial"/>
          <w:szCs w:val="20"/>
          <w:lang w:val="de" w:eastAsia="de"/>
        </w:rPr>
        <w:t xml:space="preserve">, ligação à rede 1000 V máx</w:t>
      </w:r>
      <w:r w:rsidR="00AE4A88">
        <w:rPr>
          <w:rFonts w:eastAsia="Times New Roman" w:cs="Arial"/>
          <w:szCs w:val="20"/>
          <w:lang w:val="de" w:eastAsia="de"/>
        </w:rPr>
        <w:t xml:space="preserve">. </w:t>
      </w:r>
      <w:r w:rsidR="00AE4A88">
        <w:rPr>
          <w:rFonts w:eastAsia="Times New Roman" w:cs="Arial"/>
          <w:szCs w:val="20"/>
          <w:lang w:val="de" w:eastAsia="de"/>
        </w:rPr>
        <w:t xml:space="preserve">Tensão de entrada 1000 V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ligação à rede trifásica 400 V/230 V, fator de potência 0,8 sobre-excitado a 0,8 subexcitado,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eficiência </w:t>
      </w:r>
      <w:r w:rsidR="0026731F">
        <w:rPr>
          <w:rFonts w:eastAsia="Times New Roman" w:cs="Arial"/>
          <w:szCs w:val="20"/>
          <w:lang w:val="de" w:eastAsia="de"/>
        </w:rPr>
        <w:t xml:space="preserve">máxima </w:t>
      </w:r>
      <w:r w:rsidR="00BD7937">
        <w:rPr>
          <w:rFonts w:eastAsia="Times New Roman" w:cs="Arial"/>
          <w:szCs w:val="20"/>
          <w:lang w:val="de" w:eastAsia="de"/>
        </w:rPr>
        <w:t xml:space="preserve">mín. </w:t>
      </w:r>
      <w:r w:rsidR="00672D4A">
        <w:rPr>
          <w:rFonts w:eastAsia="Times New Roman" w:cs="Arial"/>
          <w:szCs w:val="20"/>
          <w:lang w:val="de" w:eastAsia="de"/>
        </w:rPr>
        <w:t xml:space="preserve">98</w:t>
      </w:r>
      <w:r w:rsidR="008643BE">
        <w:rPr>
          <w:rFonts w:eastAsia="Times New Roman" w:cs="Arial"/>
          <w:szCs w:val="20"/>
          <w:lang w:val="de" w:eastAsia="de"/>
        </w:rPr>
        <w:t xml:space="preserve">,03 </w:t>
      </w:r>
      <w:r w:rsidR="00672D4A">
        <w:rPr>
          <w:rFonts w:eastAsia="Times New Roman" w:cs="Arial"/>
          <w:szCs w:val="20"/>
          <w:lang w:val="de" w:eastAsia="de"/>
        </w:rPr>
        <w:t xml:space="preserve">%, eficiência Euro </w:t>
      </w:r>
      <w:r w:rsidR="00BD7937">
        <w:rPr>
          <w:rFonts w:eastAsia="Times New Roman" w:cs="Arial"/>
          <w:szCs w:val="20"/>
          <w:lang w:val="de" w:eastAsia="de"/>
        </w:rPr>
        <w:t xml:space="preserve">mín. </w:t>
      </w:r>
      <w:r w:rsidR="00643F30">
        <w:rPr>
          <w:rFonts w:eastAsia="Times New Roman" w:cs="Arial"/>
          <w:szCs w:val="20"/>
          <w:lang w:val="de" w:eastAsia="de"/>
        </w:rPr>
        <w:t xml:space="preserve">97,</w:t>
      </w:r>
      <w:r w:rsidR="00643F30">
        <w:rPr>
          <w:rFonts w:eastAsia="Times New Roman" w:cs="Arial"/>
          <w:szCs w:val="20"/>
          <w:lang w:val="de" w:eastAsia="de"/>
        </w:rPr>
        <w:t xml:space="preserve">20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%, classe de proteção (segundo IEC 62103) I, com ponto de desconexão automático segundo VDE 0126-1-1, grau de proteção segundo ICE 60529 IP 65, temperatura ambiente -20 a +60 °C,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topologia </w:t>
      </w:r>
      <w:r w:rsidR="00672D4A">
        <w:rPr>
          <w:rFonts w:eastAsia="Times New Roman" w:cs="Arial"/>
          <w:szCs w:val="20"/>
          <w:lang w:val="de" w:eastAsia="de"/>
        </w:rPr>
        <w:t xml:space="preserve">sem transformador</w:t>
      </w:r>
      <w:r w:rsidR="00672D4A">
        <w:rPr>
          <w:rFonts w:eastAsia="Times New Roman" w:cs="Arial"/>
          <w:szCs w:val="20"/>
          <w:lang w:val="de" w:eastAsia="de"/>
        </w:rPr>
        <w:t xml:space="preserve">, ligação DC 4...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6 mm² </w:t>
      </w:r>
      <w:r w:rsidR="00A47FC4">
        <w:rPr>
          <w:rFonts w:eastAsia="Times New Roman" w:cs="Arial"/>
          <w:szCs w:val="20"/>
          <w:lang w:val="de" w:eastAsia="de"/>
        </w:rPr>
        <w:t xml:space="preserve">com conectores Sunclix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ligação AC </w:t>
      </w:r>
      <w:r w:rsidR="00672D4A">
        <w:rPr>
          <w:rFonts w:eastAsia="Times New Roman" w:cs="Arial"/>
          <w:szCs w:val="20"/>
          <w:lang w:val="de" w:eastAsia="de"/>
        </w:rPr>
        <w:t xml:space="preserve">1,5...4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mm²,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interfaces </w:t>
      </w:r>
      <w:r w:rsidR="000C1D9D">
        <w:rPr>
          <w:rFonts w:eastAsia="Times New Roman" w:cs="Arial"/>
          <w:szCs w:val="20"/>
          <w:lang w:val="de" w:eastAsia="de"/>
        </w:rPr>
        <w:t xml:space="preserve">2x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LAN</w:t>
      </w:r>
      <w:r w:rsidR="002007B6">
        <w:rPr>
          <w:rFonts w:eastAsia="Times New Roman" w:cs="Arial"/>
          <w:szCs w:val="20"/>
          <w:lang w:val="de" w:eastAsia="de"/>
        </w:rPr>
        <w:t xml:space="preserve">, WIFI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, RS 485 para comunicação com Smart Meter, USB, </w:t>
      </w:r>
      <w:r w:rsidR="000C1D9D">
        <w:rPr>
          <w:rFonts w:eastAsia="Times New Roman" w:cs="Arial"/>
          <w:szCs w:val="20"/>
          <w:lang w:val="de" w:eastAsia="de"/>
        </w:rPr>
        <w:t xml:space="preserve">entrada de sinal para avaliação de uma proteção externa contra sobretensão, 4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saídas </w:t>
      </w:r>
      <w:r w:rsidR="000C1D9D">
        <w:rPr>
          <w:rFonts w:eastAsia="Times New Roman" w:cs="Arial"/>
          <w:szCs w:val="20"/>
          <w:lang w:val="de" w:eastAsia="de"/>
        </w:rPr>
        <w:t xml:space="preserve">de relé </w:t>
      </w:r>
      <w:r w:rsidR="000C1D9D">
        <w:rPr>
          <w:rFonts w:eastAsia="Times New Roman" w:cs="Arial"/>
          <w:szCs w:val="20"/>
          <w:lang w:val="de" w:eastAsia="de"/>
        </w:rPr>
        <w:t xml:space="preserve">sem potencial </w:t>
      </w:r>
      <w:r w:rsidR="000C1D9D">
        <w:rPr>
          <w:rFonts w:eastAsia="Times New Roman" w:cs="Arial"/>
          <w:szCs w:val="20"/>
          <w:lang w:val="de" w:eastAsia="de"/>
        </w:rPr>
        <w:t xml:space="preserve">(24V, 100mA) para controlo de carga </w:t>
      </w:r>
      <w:r w:rsidR="002007B6">
        <w:rPr>
          <w:rFonts w:eastAsia="Times New Roman" w:cs="Arial"/>
          <w:szCs w:val="20"/>
          <w:lang w:val="de" w:eastAsia="de"/>
        </w:rPr>
        <w:t xml:space="preserve">(compatível com SG-Ready)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e interface de dados para inversores em cascata, display, indicadores LED, visualização através de servidor Web integrado, display ou aplicação para smartphone possível, com gestão de sombras de auto-aprendizagem, com Solar Portal para monitorização do sistema fotovoltaico incl.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notificação de erros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em caso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de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avaria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.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notificação de erros por e-mail em caso de avaria, integração em casa inteligente via </w:t>
      </w:r>
      <w:r w:rsidR="000C1D9D">
        <w:rPr>
          <w:rFonts w:eastAsia="Times New Roman" w:cs="Arial"/>
          <w:szCs w:val="20"/>
          <w:lang w:val="de" w:eastAsia="de"/>
        </w:rPr>
        <w:t xml:space="preserve">Modbus /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Sunspec </w:t>
      </w:r>
      <w:r w:rsidR="000C1D9D">
        <w:rPr>
          <w:rFonts w:eastAsia="Times New Roman" w:cs="Arial"/>
          <w:szCs w:val="20"/>
          <w:lang w:val="de" w:eastAsia="de"/>
        </w:rPr>
        <w:t xml:space="preserve">(TCP)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, com </w:t>
      </w:r>
      <w:r w:rsidR="00A47FC4">
        <w:rPr>
          <w:rFonts w:eastAsia="Times New Roman" w:cs="Arial"/>
          <w:szCs w:val="20"/>
          <w:lang w:val="de" w:eastAsia="de"/>
        </w:rPr>
        <w:t xml:space="preserve">ligação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para Energy Meter para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controlo </w:t>
      </w:r>
      <w:r w:rsidR="00A47FC4">
        <w:rPr>
          <w:rFonts w:eastAsia="Times New Roman" w:cs="Arial"/>
          <w:szCs w:val="20"/>
          <w:lang w:val="de" w:eastAsia="de"/>
        </w:rPr>
        <w:t xml:space="preserve">dinâmico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da potência ativa e medição do autoconsumo 24 horas por dia, com entrada integrada para ligação direta de um recetor de controlo de ondulação </w:t>
      </w:r>
      <w:r w:rsidR="00B31E0E">
        <w:rPr>
          <w:rFonts w:eastAsia="Times New Roman" w:cs="Arial"/>
          <w:szCs w:val="20"/>
        </w:rPr>
        <w:t xml:space="preserve">ou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de </w:t>
      </w:r>
      <w:r w:rsidR="00B31E0E">
        <w:rPr>
          <w:rFonts w:eastAsia="Times New Roman" w:cs="Arial"/>
          <w:szCs w:val="20"/>
        </w:rPr>
        <w:t xml:space="preserve">uma caixa de controlo FNN, compatível com EEBus</w:t>
      </w:r>
      <w:bookmarkStart w:name="_GoBack" w:id="0"/>
      <w:bookmarkEnd w:id="0"/>
      <w:r w:rsidR="00A47FC4">
        <w:rPr>
          <w:rFonts w:eastAsia="Times New Roman" w:cs="Arial"/>
          <w:szCs w:val="20"/>
          <w:lang w:val="de" w:eastAsia="de"/>
        </w:rPr>
        <w:t xml:space="preserve"> , atualização de software "AutoUpdate" através da Internet,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certificação de acordo com VDE </w:t>
      </w:r>
      <w:r w:rsidR="00672D4A">
        <w:rPr>
          <w:rFonts w:eastAsia="Times New Roman" w:cs="Arial"/>
          <w:szCs w:val="20"/>
          <w:lang w:val="de" w:eastAsia="de"/>
        </w:rPr>
        <w:t xml:space="preserve">0100-712 e VDE-AR-N 4105.</w:t>
      </w:r>
    </w:p>
    <w:p w:rsidRPr="006241CC" w:rsidR="000C1D9D" w:rsidP="000C1D9D" w:rsidRDefault="000C1D9D" w14:paraId="41889486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="00672D4A" w:rsidP="006241CC" w:rsidRDefault="00672D4A" w14:paraId="013B899A" w14:textId="0A7B2C4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Potência básica: 4,0 kW</w:t>
      </w:r>
    </w:p>
    <w:p w:rsidR="00672D4A" w:rsidP="006241CC" w:rsidRDefault="00672D4A" w14:paraId="325F831B" w14:textId="3F65405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 xml:space="preserve">Máx. Potência de saída (cos φ = 1)</w:t>
      </w:r>
      <w:r w:rsidRPr="006241CC">
        <w:rPr>
          <w:rFonts w:eastAsia="Times New Roman" w:cs="Arial"/>
          <w:szCs w:val="20"/>
          <w:lang w:val="de" w:eastAsia="de"/>
        </w:rPr>
        <w:t xml:space="preserve">: </w:t>
      </w:r>
      <w:r>
        <w:rPr>
          <w:rFonts w:eastAsia="Times New Roman" w:cs="Arial"/>
          <w:szCs w:val="20"/>
          <w:lang w:val="de" w:eastAsia="de"/>
        </w:rPr>
        <w:t xml:space="preserve">7,0 </w:t>
      </w:r>
      <w:r w:rsidRPr="006241CC">
        <w:rPr>
          <w:rFonts w:eastAsia="Times New Roman" w:cs="Arial"/>
          <w:szCs w:val="20"/>
          <w:lang w:val="de" w:eastAsia="de"/>
        </w:rPr>
        <w:t xml:space="preserve">kVA</w:t>
      </w:r>
    </w:p>
    <w:p w:rsidRPr="00672D4A" w:rsidR="00672D4A" w:rsidP="006241CC" w:rsidRDefault="00672D4A" w14:paraId="2A63462B" w14:textId="615E8F8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 xml:space="preserve">Máx. Saída fotovoltaica: 10,25 </w:t>
      </w:r>
      <w:r w:rsidRPr="006241CC">
        <w:rPr>
          <w:rFonts w:eastAsia="Times New Roman" w:cs="Arial"/>
          <w:szCs w:val="20"/>
          <w:lang w:val="de" w:eastAsia="de"/>
        </w:rPr>
        <w:t xml:space="preserve">kWp</w:t>
      </w:r>
    </w:p>
    <w:p w:rsidR="00672D4A" w:rsidP="006241CC" w:rsidRDefault="00672D4A" w14:paraId="3267D2AE" w14:textId="7DDF1DF2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Extensão de potência opcional nível 1: 5,5 kW</w:t>
      </w:r>
    </w:p>
    <w:p w:rsidR="00672D4A" w:rsidP="006241CC" w:rsidRDefault="00672D4A" w14:paraId="738CBBBB" w14:textId="1E164F1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Extensão de potência opcional nível 2: 7,0 kW</w:t>
      </w:r>
    </w:p>
    <w:p w:rsidRPr="006241CC" w:rsidR="006241CC" w:rsidP="006241CC" w:rsidRDefault="006241CC" w14:paraId="41889489" w14:textId="0AF5698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Gama de tensões de funcionamento do MPP: </w:t>
      </w:r>
      <w:r w:rsidR="00672D4A">
        <w:rPr>
          <w:rFonts w:eastAsia="Times New Roman" w:cs="Arial"/>
          <w:szCs w:val="20"/>
          <w:lang w:val="de" w:eastAsia="de"/>
        </w:rPr>
        <w:t xml:space="preserve">75 </w:t>
      </w:r>
      <w:r w:rsidRPr="006241CC">
        <w:rPr>
          <w:rFonts w:eastAsia="Times New Roman" w:cs="Arial"/>
          <w:szCs w:val="20"/>
          <w:lang w:val="de" w:eastAsia="de"/>
        </w:rPr>
        <w:t xml:space="preserve">- </w:t>
      </w:r>
      <w:r w:rsidR="00B12AEE">
        <w:rPr>
          <w:rFonts w:eastAsia="Times New Roman" w:cs="Arial"/>
          <w:szCs w:val="20"/>
          <w:lang w:val="de" w:eastAsia="de"/>
        </w:rPr>
        <w:t xml:space="preserve">900 </w:t>
      </w:r>
      <w:r w:rsidRPr="006241CC">
        <w:rPr>
          <w:rFonts w:eastAsia="Times New Roman" w:cs="Arial"/>
          <w:szCs w:val="20"/>
          <w:lang w:val="de" w:eastAsia="de"/>
        </w:rPr>
        <w:t xml:space="preserve">V</w:t>
      </w:r>
    </w:p>
    <w:p w:rsidRPr="006241CC" w:rsidR="006241CC" w:rsidP="006241CC" w:rsidRDefault="006241CC" w14:paraId="4188948A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Pr="006241CC" w:rsidR="006241CC" w:rsidP="006241CC" w:rsidRDefault="006241CC" w14:paraId="4188948B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6241CC" w:rsidR="006241CC" w:rsidP="006241CC" w:rsidRDefault="006241CC" w14:paraId="4188948C" w14:textId="1667F03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"Kostal / PLENTICORE </w:t>
      </w:r>
      <w:r w:rsidR="00B12AEE">
        <w:rPr>
          <w:rFonts w:eastAsia="Times New Roman" w:cs="Arial"/>
          <w:szCs w:val="20"/>
          <w:lang w:val="de" w:eastAsia="de"/>
        </w:rPr>
        <w:t xml:space="preserve">S G</w:t>
      </w:r>
      <w:r w:rsidRPr="006241CC">
        <w:rPr>
          <w:rFonts w:eastAsia="Times New Roman" w:cs="Arial"/>
          <w:szCs w:val="20"/>
          <w:lang w:val="de" w:eastAsia="de"/>
        </w:rPr>
        <w:t xml:space="preserve">3</w:t>
      </w:r>
      <w:r w:rsidRPr="006241CC">
        <w:rPr>
          <w:rFonts w:eastAsia="Times New Roman" w:cs="Arial"/>
          <w:szCs w:val="20"/>
          <w:lang w:val="de" w:eastAsia="de"/>
        </w:rPr>
        <w:br/>
      </w:r>
      <w:r w:rsidRPr="006241CC">
        <w:rPr>
          <w:rFonts w:eastAsia="Times New Roman" w:cs="Arial"/>
          <w:szCs w:val="20"/>
          <w:lang w:val="de" w:eastAsia="de"/>
        </w:rPr>
        <w:t xml:space="preserve">ou equivalente</w:t>
      </w:r>
    </w:p>
    <w:p w:rsidRPr="006241CC" w:rsidR="006241CC" w:rsidP="006241CC" w:rsidRDefault="006241CC" w14:paraId="4188948D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6241CC" w:rsidR="00111F51" w:rsidP="006241CC" w:rsidRDefault="006241CC" w14:paraId="4188948E" w14:textId="77777777">
      <w:pPr>
        <w:rPr>
          <w:lang w:val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  <w:r w:rsidRPr="006241CC">
        <w:rPr>
          <w:rFonts w:eastAsia="Times New Roman" w:cs="Arial"/>
          <w:szCs w:val="20"/>
          <w:lang w:val="de" w:eastAsia="de"/>
        </w:rPr>
        <w:br/>
      </w:r>
      <w:r w:rsidRPr="006241CC">
        <w:rPr>
          <w:rFonts w:eastAsia="Times New Roman" w:cs="Arial"/>
          <w:szCs w:val="20"/>
          <w:lang w:val="de" w:eastAsia="de"/>
        </w:rPr>
        <w:t xml:space="preserve">a introduzir pelo proponente.</w:t>
      </w:r>
    </w:p>
    <w:sectPr w:rsidRPr="006241CC" w:rsidR="00111F51" w:rsidSect="001E01A2">
      <w:pgSz w:w="11906" w:h="16838"/>
      <w:pgMar w:top="1418" w:right="1416" w:bottom="56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1F" w:rsidP="0026731F" w:rsidRDefault="0026731F" w14:paraId="6FA468E7" w14:textId="77777777">
      <w:r>
        <w:separator/>
      </w:r>
    </w:p>
  </w:endnote>
  <w:endnote w:type="continuationSeparator" w:id="0">
    <w:p w:rsidR="0026731F" w:rsidP="0026731F" w:rsidRDefault="0026731F" w14:paraId="7AF840B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1F" w:rsidP="0026731F" w:rsidRDefault="0026731F" w14:paraId="7873FECD" w14:textId="77777777">
      <w:r>
        <w:separator/>
      </w:r>
    </w:p>
  </w:footnote>
  <w:footnote w:type="continuationSeparator" w:id="0">
    <w:p w:rsidR="0026731F" w:rsidP="0026731F" w:rsidRDefault="0026731F" w14:paraId="0CF8E44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0C1D9D"/>
    <w:rsid w:val="000C414A"/>
    <w:rsid w:val="00111F51"/>
    <w:rsid w:val="001A009E"/>
    <w:rsid w:val="001A357A"/>
    <w:rsid w:val="001E01A2"/>
    <w:rsid w:val="002007B6"/>
    <w:rsid w:val="0026731F"/>
    <w:rsid w:val="00347678"/>
    <w:rsid w:val="006241CC"/>
    <w:rsid w:val="00643F30"/>
    <w:rsid w:val="00672D4A"/>
    <w:rsid w:val="0070354D"/>
    <w:rsid w:val="0074546D"/>
    <w:rsid w:val="00791F8F"/>
    <w:rsid w:val="008643BE"/>
    <w:rsid w:val="00A47FC4"/>
    <w:rsid w:val="00AA4901"/>
    <w:rsid w:val="00AE4A88"/>
    <w:rsid w:val="00B12AEE"/>
    <w:rsid w:val="00B31E0E"/>
    <w:rsid w:val="00BD7937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889483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731F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731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B9D18-112D-46CC-86AE-EDAA1227D6D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D97FF91-2B95-4A06-BC24-B307C2127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9127D-F675-4F72-9C18-B8AD9CC927E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DF3663-AC87-4C03-9E48-9031B0863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docId:C4CC1888F7AA1841CC925335394CF227</keywords>
  <dc:description/>
  <lastModifiedBy>Schmalenberg, Andreas</lastModifiedBy>
  <revision>15</revision>
  <dcterms:created xsi:type="dcterms:W3CDTF">2021-12-09T10:14:00.0000000Z</dcterms:created>
  <dcterms:modified xsi:type="dcterms:W3CDTF">2025-06-05T10:18:00.0000000Z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