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CC0088" w14:textId="456A1A25" w:rsidR="00B12AEE" w:rsidRPr="00B12AEE" w:rsidRDefault="006241CC" w:rsidP="00AA4901">
      <w:pPr>
        <w:autoSpaceDE w:val="0"/>
        <w:autoSpaceDN w:val="0"/>
        <w:adjustRightInd w:val="0"/>
        <w:rPr>
          <w:rFonts w:cs="Arial"/>
          <w:szCs w:val="20"/>
        </w:rPr>
      </w:pPr>
      <w:r>
        <w:rPr>
          <w:b/>
        </w:rPr>
        <w:t>Inversor para fotovoltaica, trifásico, 4,0...7,0 kVA, 3 seguidores PMP</w:t>
      </w:r>
    </w:p>
    <w:p w14:paraId="4DE8B3A1" w14:textId="77777777" w:rsidR="00B12AEE" w:rsidRPr="00287103" w:rsidRDefault="00B12AEE" w:rsidP="00B12AEE">
      <w:pPr>
        <w:autoSpaceDE w:val="0"/>
        <w:autoSpaceDN w:val="0"/>
        <w:adjustRightInd w:val="0"/>
        <w:jc w:val="both"/>
        <w:rPr>
          <w:rFonts w:cs="Arial"/>
          <w:szCs w:val="20"/>
          <w:lang w:eastAsia="de"/>
        </w:rPr>
      </w:pPr>
    </w:p>
    <w:p w14:paraId="7BC28126" w14:textId="1FD3079A" w:rsidR="00287103" w:rsidRDefault="00AA4901" w:rsidP="00287103">
      <w:pPr>
        <w:autoSpaceDE w:val="0"/>
        <w:autoSpaceDN w:val="0"/>
        <w:adjustRightInd w:val="0"/>
        <w:jc w:val="both"/>
        <w:rPr>
          <w:rFonts w:eastAsia="Times New Roman" w:cs="Arial"/>
          <w:szCs w:val="20"/>
        </w:rPr>
      </w:pPr>
      <w:r>
        <w:t xml:space="preserve">Inversor trifásico sin transformador para instalaciones fotovoltaicas con 3 seguidores PMP (17A máx. de corriente MPPT cada uno), uso universal como inversor solar, híbrido o cargador, ampliación de potencia opcional con código de activación, activación opcional del tercer seguidor PMP como entrada de la batería para conectar un acumulador de alta tensión compatible, preparado para la carga adicional de la batería a través de fuentes de energía CA existentes, posibilidad de funcionamiento con energía de reserva con conmutador manual (KOSTAL BackUp Switch) o dispositivo de conmutación automático, módulo de protección contra sobretensiones CC tipo 2 integrable opcionalmente, con registro de datos, apto para el montaje en interiores y exteriores, tensión de entrada máx. de 1000 V, conexión de red trifásica de 400 V/230 V, factor de potencia 0,8 sobreexcitado a 0,8 subexcitado, eficiencia máx. 98 %, eficiencia Euro 97 %, clase de protección (según IEC 62103) I, con dispositivo de desconexión autónomo según VDE 0126-1-1, tipo de protección según ICE 60529 IP 65, temperatura ambiente de -20 a +60 °C, topología sin transformador, conexión CC 4...6 mm² con conectores SUNCLIX, conexión CA de </w:t>
      </w:r>
      <w:r w:rsidR="00CF45A5">
        <w:t>2</w:t>
      </w:r>
      <w:r>
        <w:t>,5…</w:t>
      </w:r>
      <w:r w:rsidR="00CF45A5">
        <w:t>10</w:t>
      </w:r>
      <w:bookmarkStart w:id="0" w:name="_GoBack"/>
      <w:bookmarkEnd w:id="0"/>
      <w:r>
        <w:t> mm², interfaces 2x LAN, WIFI, RS 485 para comunicación con Smart Meter, USB, entrada de señalización para evaluar una protección contra sobretensión externa, 4 salidas de relé libres de potencial (24 V, 100 mA) para el control de carga (compatible con SG-Ready) e interfaz de datos para la conexión en cascada de inversores, pantalla, indicadores de mensajes LED, posibilidad de visualización mediante Webserver integrado, posibilidad de aplicación para pantalla o smartphone, con gestión de sombras con autoaprendizaje, con Solar Portal para la monitorización de la instalación fotovoltaica, incl. aviso de error en caso de avería. Portal Solar para la monitorización de la instalación fotovoltaica, incluida la notificación de errores por correo electrónico en caso de fallo, integración en Smart Home a través de Modbus/SunSpec (TCP), con conexión para Energy Meter para el control dinámico de la potencia activa y la medición del autoconsumo durante 24 horas, con entrada integrada para la conexión directa de un receptor de telemando centralizado, actualización de software «AutoUpdate» a través de Internet, certificación seg</w:t>
      </w:r>
      <w:r w:rsidR="00287103">
        <w:t>ún VDE 0100-712</w:t>
      </w:r>
      <w:r w:rsidR="00162380">
        <w:t xml:space="preserve">, </w:t>
      </w:r>
      <w:r w:rsidR="00287103">
        <w:t xml:space="preserve">VDE-AR-N 4105, </w:t>
      </w:r>
      <w:r w:rsidR="00287103">
        <w:rPr>
          <w:highlight w:val="yellow"/>
        </w:rPr>
        <w:t xml:space="preserve"> NTS UE 2016-631 - TIPO A, IEC 62116 y UNE 217002.</w:t>
      </w:r>
      <w:r w:rsidR="00287103">
        <w:t xml:space="preserve"> </w:t>
      </w:r>
    </w:p>
    <w:p w14:paraId="41889485" w14:textId="4B830BCD" w:rsidR="006241CC" w:rsidRDefault="006241CC" w:rsidP="00B12AEE">
      <w:pPr>
        <w:autoSpaceDE w:val="0"/>
        <w:autoSpaceDN w:val="0"/>
        <w:adjustRightInd w:val="0"/>
        <w:jc w:val="both"/>
        <w:rPr>
          <w:rFonts w:eastAsia="Times New Roman" w:cs="Arial"/>
          <w:szCs w:val="20"/>
        </w:rPr>
      </w:pPr>
    </w:p>
    <w:p w14:paraId="41889486" w14:textId="77777777" w:rsidR="000C1D9D" w:rsidRPr="00287103" w:rsidRDefault="000C1D9D" w:rsidP="000C1D9D">
      <w:pPr>
        <w:autoSpaceDE w:val="0"/>
        <w:autoSpaceDN w:val="0"/>
        <w:adjustRightInd w:val="0"/>
        <w:jc w:val="both"/>
        <w:rPr>
          <w:rFonts w:eastAsia="Times New Roman" w:cs="Arial"/>
          <w:szCs w:val="20"/>
          <w:lang w:eastAsia="de"/>
        </w:rPr>
      </w:pPr>
    </w:p>
    <w:p w14:paraId="013B899A" w14:textId="0A7B2C4F" w:rsidR="00672D4A" w:rsidRDefault="00672D4A" w:rsidP="006241CC">
      <w:pPr>
        <w:tabs>
          <w:tab w:val="left" w:pos="5954"/>
        </w:tabs>
        <w:autoSpaceDE w:val="0"/>
        <w:autoSpaceDN w:val="0"/>
        <w:adjustRightInd w:val="0"/>
        <w:rPr>
          <w:rFonts w:eastAsia="Times New Roman" w:cs="Arial"/>
          <w:szCs w:val="20"/>
        </w:rPr>
      </w:pPr>
      <w:r>
        <w:t>Potencia básica: 4,0 kW</w:t>
      </w:r>
    </w:p>
    <w:p w14:paraId="325F831B" w14:textId="3F65405F" w:rsidR="00672D4A" w:rsidRDefault="00672D4A" w:rsidP="006241CC">
      <w:pPr>
        <w:tabs>
          <w:tab w:val="left" w:pos="5954"/>
        </w:tabs>
        <w:autoSpaceDE w:val="0"/>
        <w:autoSpaceDN w:val="0"/>
        <w:adjustRightInd w:val="0"/>
        <w:rPr>
          <w:rFonts w:eastAsia="Times New Roman" w:cs="Arial"/>
          <w:szCs w:val="20"/>
        </w:rPr>
      </w:pPr>
      <w:r>
        <w:t>Potencia aparente de salida máx. (cos φ = 1): 7,0 kVA</w:t>
      </w:r>
    </w:p>
    <w:p w14:paraId="2A63462B" w14:textId="615E8F8F" w:rsidR="00672D4A" w:rsidRPr="00672D4A" w:rsidRDefault="00672D4A" w:rsidP="006241CC">
      <w:pPr>
        <w:tabs>
          <w:tab w:val="left" w:pos="5954"/>
        </w:tabs>
        <w:autoSpaceDE w:val="0"/>
        <w:autoSpaceDN w:val="0"/>
        <w:adjustRightInd w:val="0"/>
        <w:rPr>
          <w:rFonts w:eastAsia="Times New Roman" w:cs="Arial"/>
          <w:szCs w:val="20"/>
        </w:rPr>
      </w:pPr>
      <w:r>
        <w:t>Potencia fotovoltaica máx.: 10,25 kWp</w:t>
      </w:r>
    </w:p>
    <w:p w14:paraId="3267D2AE" w14:textId="7DDF1DF2" w:rsidR="00672D4A" w:rsidRDefault="00672D4A" w:rsidP="006241CC">
      <w:pPr>
        <w:tabs>
          <w:tab w:val="left" w:pos="5954"/>
        </w:tabs>
        <w:autoSpaceDE w:val="0"/>
        <w:autoSpaceDN w:val="0"/>
        <w:adjustRightInd w:val="0"/>
        <w:rPr>
          <w:rFonts w:eastAsia="Times New Roman" w:cs="Arial"/>
          <w:szCs w:val="20"/>
        </w:rPr>
      </w:pPr>
      <w:r>
        <w:t>Ampliación de potencia opcional nivel 1: 5,5 kW</w:t>
      </w:r>
    </w:p>
    <w:p w14:paraId="738CBBBB" w14:textId="1E164F1F" w:rsidR="00672D4A" w:rsidRDefault="00672D4A" w:rsidP="006241CC">
      <w:pPr>
        <w:tabs>
          <w:tab w:val="left" w:pos="5954"/>
        </w:tabs>
        <w:autoSpaceDE w:val="0"/>
        <w:autoSpaceDN w:val="0"/>
        <w:adjustRightInd w:val="0"/>
        <w:rPr>
          <w:rFonts w:eastAsia="Times New Roman" w:cs="Arial"/>
          <w:szCs w:val="20"/>
        </w:rPr>
      </w:pPr>
      <w:r>
        <w:t>Ampliación de potencia opcional nivel 2: 7,0 kW</w:t>
      </w:r>
    </w:p>
    <w:p w14:paraId="41889489" w14:textId="0AF56983" w:rsidR="006241CC" w:rsidRPr="006241CC" w:rsidRDefault="006241CC" w:rsidP="006241CC">
      <w:pPr>
        <w:tabs>
          <w:tab w:val="left" w:pos="5954"/>
        </w:tabs>
        <w:autoSpaceDE w:val="0"/>
        <w:autoSpaceDN w:val="0"/>
        <w:adjustRightInd w:val="0"/>
        <w:rPr>
          <w:rFonts w:eastAsia="Times New Roman" w:cs="Arial"/>
          <w:szCs w:val="20"/>
        </w:rPr>
      </w:pPr>
      <w:r>
        <w:t>Rango de tensión de trabajo PMP: 75-900 V</w:t>
      </w:r>
    </w:p>
    <w:p w14:paraId="4188948A" w14:textId="77777777" w:rsidR="006241CC" w:rsidRPr="00287103" w:rsidRDefault="006241CC" w:rsidP="006241CC">
      <w:pPr>
        <w:autoSpaceDE w:val="0"/>
        <w:autoSpaceDN w:val="0"/>
        <w:adjustRightInd w:val="0"/>
        <w:rPr>
          <w:rFonts w:eastAsia="Times New Roman" w:cs="Arial"/>
          <w:szCs w:val="20"/>
          <w:lang w:eastAsia="de"/>
        </w:rPr>
      </w:pPr>
    </w:p>
    <w:p w14:paraId="4188948B" w14:textId="77777777" w:rsidR="006241CC" w:rsidRPr="006241CC" w:rsidRDefault="006241CC" w:rsidP="006241CC">
      <w:pPr>
        <w:autoSpaceDE w:val="0"/>
        <w:autoSpaceDN w:val="0"/>
        <w:adjustRightInd w:val="0"/>
        <w:rPr>
          <w:rFonts w:eastAsia="Times New Roman" w:cs="Arial"/>
          <w:szCs w:val="20"/>
        </w:rPr>
      </w:pPr>
      <w:r>
        <w:t>Fabricante/tipo</w:t>
      </w:r>
    </w:p>
    <w:p w14:paraId="4188948C" w14:textId="1667F034" w:rsidR="006241CC" w:rsidRPr="006241CC" w:rsidRDefault="006241CC" w:rsidP="006241CC">
      <w:pPr>
        <w:autoSpaceDE w:val="0"/>
        <w:autoSpaceDN w:val="0"/>
        <w:adjustRightInd w:val="0"/>
        <w:rPr>
          <w:rFonts w:eastAsia="Times New Roman" w:cs="Arial"/>
          <w:szCs w:val="20"/>
        </w:rPr>
      </w:pPr>
      <w:r>
        <w:t>'KOSTAL / PLENTICORE S G3'</w:t>
      </w:r>
      <w:r>
        <w:br/>
        <w:t>o equivalente</w:t>
      </w:r>
    </w:p>
    <w:p w14:paraId="4188948D" w14:textId="77777777" w:rsidR="006241CC" w:rsidRPr="006241CC" w:rsidRDefault="006241CC" w:rsidP="006241CC">
      <w:pPr>
        <w:autoSpaceDE w:val="0"/>
        <w:autoSpaceDN w:val="0"/>
        <w:adjustRightInd w:val="0"/>
        <w:rPr>
          <w:rFonts w:eastAsia="Times New Roman" w:cs="Arial"/>
          <w:szCs w:val="20"/>
        </w:rPr>
      </w:pPr>
      <w:r>
        <w:t>Fabricante/tipo</w:t>
      </w:r>
    </w:p>
    <w:p w14:paraId="4188948E" w14:textId="77777777" w:rsidR="00111F51" w:rsidRPr="006241CC" w:rsidRDefault="006241CC" w:rsidP="006241CC">
      <w:r>
        <w:t>'....................................................'</w:t>
      </w:r>
      <w:r>
        <w:br/>
        <w:t>debe introducirlo el licitador.</w:t>
      </w:r>
    </w:p>
    <w:sectPr w:rsidR="00111F51" w:rsidRPr="006241CC" w:rsidSect="001E01A2">
      <w:pgSz w:w="11906" w:h="16838"/>
      <w:pgMar w:top="1418" w:right="1416" w:bottom="567"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ECE4E9" w14:textId="77777777" w:rsidR="000A3477" w:rsidRDefault="000A3477" w:rsidP="00162380">
      <w:r>
        <w:separator/>
      </w:r>
    </w:p>
  </w:endnote>
  <w:endnote w:type="continuationSeparator" w:id="0">
    <w:p w14:paraId="0B90BFF1" w14:textId="77777777" w:rsidR="000A3477" w:rsidRDefault="000A3477" w:rsidP="00162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508674" w14:textId="77777777" w:rsidR="000A3477" w:rsidRDefault="000A3477" w:rsidP="00162380">
      <w:r>
        <w:separator/>
      </w:r>
    </w:p>
  </w:footnote>
  <w:footnote w:type="continuationSeparator" w:id="0">
    <w:p w14:paraId="2C6812C4" w14:textId="77777777" w:rsidR="000A3477" w:rsidRDefault="000A3477" w:rsidP="00162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1CC"/>
    <w:rsid w:val="000A3477"/>
    <w:rsid w:val="000C1D9D"/>
    <w:rsid w:val="000C414A"/>
    <w:rsid w:val="00111F51"/>
    <w:rsid w:val="00162380"/>
    <w:rsid w:val="001A009E"/>
    <w:rsid w:val="001E01A2"/>
    <w:rsid w:val="002007B6"/>
    <w:rsid w:val="00287103"/>
    <w:rsid w:val="00347678"/>
    <w:rsid w:val="006241CC"/>
    <w:rsid w:val="00672D4A"/>
    <w:rsid w:val="0070354D"/>
    <w:rsid w:val="00791F8F"/>
    <w:rsid w:val="00A47FC4"/>
    <w:rsid w:val="00AA4901"/>
    <w:rsid w:val="00AE4A88"/>
    <w:rsid w:val="00B12AEE"/>
    <w:rsid w:val="00CF45A5"/>
    <w:rsid w:val="00D21AE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889483"/>
  <w15:chartTrackingRefBased/>
  <w15:docId w15:val="{FBD187FF-F1AF-4E75-AFA8-C997FB72B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6241CC"/>
    <w:pPr>
      <w:autoSpaceDE w:val="0"/>
      <w:autoSpaceDN w:val="0"/>
      <w:adjustRightInd w:val="0"/>
      <w:spacing w:before="100" w:after="100"/>
    </w:pPr>
    <w:rPr>
      <w:rFonts w:ascii="Times New Roman" w:hAnsi="Times New Roman" w:cs="Times New Roman"/>
      <w:sz w:val="24"/>
      <w:szCs w:val="24"/>
    </w:rPr>
  </w:style>
  <w:style w:type="paragraph" w:styleId="Kopfzeile">
    <w:name w:val="header"/>
    <w:basedOn w:val="Standard"/>
    <w:link w:val="KopfzeileZchn"/>
    <w:uiPriority w:val="99"/>
    <w:unhideWhenUsed/>
    <w:rsid w:val="00162380"/>
    <w:pPr>
      <w:tabs>
        <w:tab w:val="center" w:pos="4252"/>
        <w:tab w:val="right" w:pos="8504"/>
      </w:tabs>
    </w:pPr>
  </w:style>
  <w:style w:type="character" w:customStyle="1" w:styleId="KopfzeileZchn">
    <w:name w:val="Kopfzeile Zchn"/>
    <w:basedOn w:val="Absatz-Standardschriftart"/>
    <w:link w:val="Kopfzeile"/>
    <w:uiPriority w:val="99"/>
    <w:rsid w:val="00162380"/>
    <w:rPr>
      <w:rFonts w:ascii="Arial" w:hAnsi="Arial"/>
      <w:sz w:val="20"/>
    </w:rPr>
  </w:style>
  <w:style w:type="paragraph" w:styleId="Fuzeile">
    <w:name w:val="footer"/>
    <w:basedOn w:val="Standard"/>
    <w:link w:val="FuzeileZchn"/>
    <w:uiPriority w:val="99"/>
    <w:unhideWhenUsed/>
    <w:rsid w:val="00162380"/>
    <w:pPr>
      <w:tabs>
        <w:tab w:val="center" w:pos="4252"/>
        <w:tab w:val="right" w:pos="8504"/>
      </w:tabs>
    </w:pPr>
  </w:style>
  <w:style w:type="character" w:customStyle="1" w:styleId="FuzeileZchn">
    <w:name w:val="Fußzeile Zchn"/>
    <w:basedOn w:val="Absatz-Standardschriftart"/>
    <w:link w:val="Fuzeile"/>
    <w:uiPriority w:val="99"/>
    <w:rsid w:val="00162380"/>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55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6366095-a18c-4cb3-a1ea-2fdfefee6388" ContentTypeId="0x0101" PreviousValue="false"/>
</file>

<file path=customXml/item3.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Props1.xml><?xml version="1.0" encoding="utf-8"?>
<ds:datastoreItem xmlns:ds="http://schemas.openxmlformats.org/officeDocument/2006/customXml" ds:itemID="{2D97FF91-2B95-4A06-BC24-B307C2127B28}">
  <ds:schemaRefs>
    <ds:schemaRef ds:uri="http://schemas.microsoft.com/sharepoint/v3/contenttype/forms"/>
  </ds:schemaRefs>
</ds:datastoreItem>
</file>

<file path=customXml/itemProps2.xml><?xml version="1.0" encoding="utf-8"?>
<ds:datastoreItem xmlns:ds="http://schemas.openxmlformats.org/officeDocument/2006/customXml" ds:itemID="{15FB9D18-112D-46CC-86AE-EDAA1227D6D9}">
  <ds:schemaRefs>
    <ds:schemaRef ds:uri="Microsoft.SharePoint.Taxonomy.ContentTypeSync"/>
  </ds:schemaRefs>
</ds:datastoreItem>
</file>

<file path=customXml/itemProps3.xml><?xml version="1.0" encoding="utf-8"?>
<ds:datastoreItem xmlns:ds="http://schemas.openxmlformats.org/officeDocument/2006/customXml" ds:itemID="{FEDF3663-AC87-4C03-9E48-9031B0863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99127D-F675-4F72-9C18-B8AD9CC927ED}">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399</Words>
  <Characters>2514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Heimbucher, Dirk</cp:lastModifiedBy>
  <cp:revision>12</cp:revision>
  <dcterms:created xsi:type="dcterms:W3CDTF">2021-12-09T10:14:00Z</dcterms:created>
  <dcterms:modified xsi:type="dcterms:W3CDTF">2024-11-21T14:28:00Z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