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5B39A4" w14:paraId="696E0B98" w14:textId="0671B08D">
      <w:pPr>
        <w:rPr>
          <w:rFonts w:cs="Arial"/>
          <w:b/>
          <w:bCs/>
          <w:szCs w:val="20"/>
          <w:lang w:val="de" w:eastAsia="de"/>
        </w:rPr>
      </w:pPr>
      <w:r>
        <w:rPr>
          <w:rFonts w:cs="Arial"/>
          <w:b/>
          <w:bCs/>
          <w:szCs w:val="20"/>
          <w:lang w:val="de" w:eastAsia="de"/>
        </w:rPr>
        <w:t xml:space="preserve">Onduleur photovoltaïque, </w:t>
      </w:r>
      <w:r w:rsidR="003617A4">
        <w:rPr>
          <w:rFonts w:cs="Arial"/>
          <w:b/>
          <w:bCs/>
          <w:szCs w:val="20"/>
          <w:lang w:val="de" w:eastAsia="de"/>
        </w:rPr>
        <w:t xml:space="preserve">monophasé, </w:t>
      </w:r>
      <w:r>
        <w:rPr>
          <w:rFonts w:cs="Arial"/>
          <w:b/>
          <w:bCs/>
          <w:szCs w:val="20"/>
          <w:lang w:eastAsia="zh-CN"/>
        </w:rPr>
        <w:t xml:space="preserve">3,0...4,0 </w:t>
      </w:r>
      <w:r w:rsidR="00A70FDC">
        <w:rPr>
          <w:rFonts w:cs="Arial"/>
          <w:b/>
          <w:bCs/>
          <w:szCs w:val="20"/>
          <w:lang w:eastAsia="zh-CN"/>
        </w:rPr>
        <w:t xml:space="preserve">kVA</w:t>
      </w:r>
      <w:r>
        <w:rPr>
          <w:rFonts w:cs="Arial"/>
          <w:b/>
          <w:bCs/>
          <w:szCs w:val="20"/>
          <w:lang w:val="de" w:eastAsia="de"/>
        </w:rPr>
        <w:t xml:space="preserve">, 2 </w:t>
      </w:r>
      <w:r w:rsidR="003617A4">
        <w:rPr>
          <w:rFonts w:cs="Arial"/>
          <w:b/>
          <w:bCs/>
          <w:szCs w:val="20"/>
          <w:lang w:val="de" w:eastAsia="de"/>
        </w:rPr>
        <w:t xml:space="preserve">trackers MPP</w:t>
      </w:r>
    </w:p>
    <w:p w:rsidR="003617A4" w:rsidRDefault="003617A4" w14:paraId="696E0B99" w14:textId="77777777">
      <w:pPr>
        <w:rPr>
          <w:rFonts w:cs="Arial"/>
          <w:b/>
          <w:bCs/>
          <w:szCs w:val="20"/>
          <w:lang w:val="de" w:eastAsia="de"/>
        </w:rPr>
      </w:pPr>
    </w:p>
    <w:p w:rsidR="00A70FDC" w:rsidP="00A70FDC" w:rsidRDefault="00A70FDC" w14:paraId="2D15100A" w14:textId="37F63B12">
      <w:pPr>
        <w:autoSpaceDE w:val="0"/>
        <w:autoSpaceDN w:val="0"/>
        <w:adjustRightInd w:val="0"/>
        <w:jc w:val="both"/>
        <w:rPr>
          <w:rFonts w:eastAsia="Times New Roman" w:cs="Arial"/>
          <w:szCs w:val="20"/>
        </w:rPr>
      </w:pPr>
      <w:r>
        <w:rPr>
          <w:rFonts w:cs="Arial"/>
          <w:szCs w:val="20"/>
        </w:rPr>
        <w:t xml:space="preserve">Onduleur </w:t>
      </w:r>
      <w:r w:rsidR="005B39A4">
        <w:rPr>
          <w:rFonts w:cs="Arial"/>
          <w:szCs w:val="20"/>
        </w:rPr>
        <w:t xml:space="preserve">monophasé </w:t>
      </w:r>
      <w:r>
        <w:rPr>
          <w:rFonts w:cs="Arial"/>
          <w:szCs w:val="20"/>
        </w:rPr>
        <w:t xml:space="preserve">sans transformateur </w:t>
      </w:r>
      <w:r>
        <w:rPr>
          <w:rFonts w:eastAsia="Times New Roman" w:cs="Arial"/>
          <w:szCs w:val="20"/>
        </w:rPr>
        <w:t xml:space="preserve">pour systèmes photovoltaïques avec </w:t>
      </w:r>
      <w:r w:rsidR="005B39A4">
        <w:rPr>
          <w:rFonts w:eastAsia="Times New Roman" w:cs="Arial"/>
          <w:szCs w:val="20"/>
        </w:rPr>
        <w:t xml:space="preserve">2 </w:t>
      </w:r>
      <w:r>
        <w:rPr>
          <w:rFonts w:eastAsia="Times New Roman" w:cs="Arial"/>
          <w:szCs w:val="20"/>
        </w:rPr>
        <w:t xml:space="preserve">trackers MPP </w:t>
      </w:r>
      <w:r w:rsidRPr="00A70FDC">
        <w:rPr>
          <w:rFonts w:eastAsia="Times New Roman" w:cs="Arial"/>
          <w:szCs w:val="20"/>
        </w:rPr>
        <w:t xml:space="preserve">(</w:t>
      </w:r>
      <w:r w:rsidR="005B39A4">
        <w:rPr>
          <w:rFonts w:eastAsia="Times New Roman" w:cs="Arial"/>
          <w:szCs w:val="20"/>
        </w:rPr>
        <w:t xml:space="preserve">17A/17A </w:t>
      </w:r>
      <w:r w:rsidRPr="00721FFE" w:rsidR="00721FFE">
        <w:rPr>
          <w:rFonts w:eastAsia="Times New Roman" w:cs="Arial"/>
          <w:szCs w:val="20"/>
        </w:rPr>
        <w:t xml:space="preserve">max. courant MPPT)</w:t>
      </w:r>
      <w:r>
        <w:rPr>
          <w:rFonts w:cs="Arial"/>
          <w:szCs w:val="20"/>
        </w:rPr>
        <w:t xml:space="preserve">, utilisable universellement comme onduleur solaire, hybride ou à batterie</w:t>
      </w:r>
      <w:r>
        <w:rPr>
          <w:rFonts w:eastAsia="Times New Roman" w:cs="Arial"/>
          <w:szCs w:val="20"/>
        </w:rPr>
        <w:t xml:space="preserve">, extension de puissance optionnelle </w:t>
      </w:r>
      <w:r>
        <w:rPr>
          <w:rFonts w:cs="Arial"/>
          <w:szCs w:val="20"/>
        </w:rPr>
        <w:t xml:space="preserve">avec code d'activation</w:t>
      </w:r>
      <w:r>
        <w:rPr>
          <w:rFonts w:eastAsia="Times New Roman" w:cs="Arial"/>
          <w:szCs w:val="20"/>
        </w:rPr>
        <w:t xml:space="preserve">, </w:t>
      </w:r>
      <w:r>
        <w:rPr>
          <w:rFonts w:cs="Arial"/>
          <w:szCs w:val="20"/>
        </w:rPr>
        <w:t xml:space="preserve">activation optionnelle du </w:t>
      </w:r>
      <w:r w:rsidR="005B39A4">
        <w:rPr>
          <w:rFonts w:cs="Arial"/>
          <w:szCs w:val="20"/>
        </w:rPr>
        <w:t xml:space="preserve">2ème </w:t>
      </w:r>
      <w:r>
        <w:rPr>
          <w:rFonts w:eastAsia="Times New Roman" w:cs="Arial"/>
          <w:szCs w:val="20"/>
        </w:rPr>
        <w:t xml:space="preserve">tracker MPP comme entrée batterie pour la connexion d'</w:t>
      </w:r>
      <w:r>
        <w:rPr>
          <w:rFonts w:cs="Arial"/>
          <w:szCs w:val="20"/>
        </w:rPr>
        <w:t xml:space="preserve">un système de stockage HV compatible</w:t>
      </w:r>
      <w:r>
        <w:rPr>
          <w:rFonts w:eastAsia="Times New Roman" w:cs="Arial"/>
          <w:szCs w:val="20"/>
        </w:rPr>
        <w:t xml:space="preserve">, préparé pour une charge supplémentaire de la batterie via les sources d'énergie AC existantes</w:t>
      </w:r>
      <w:r>
        <w:rPr>
          <w:rFonts w:eastAsia="Times New Roman" w:cs="Arial"/>
          <w:szCs w:val="20"/>
        </w:rPr>
        <w:t xml:space="preserve">, fonctionnement en alimentation de secours avec commutateur manuel (KOSTER)</w:t>
      </w:r>
      <w:r w:rsidRPr="00721FFE" w:rsidR="00721FFE">
        <w:rPr>
          <w:rFonts w:eastAsia="Times New Roman" w:cs="Arial"/>
          <w:szCs w:val="20"/>
        </w:rPr>
        <w:t xml:space="preserve">. </w:t>
      </w:r>
      <w:r>
        <w:rPr>
          <w:rFonts w:cs="Arial"/>
          <w:szCs w:val="20"/>
        </w:rPr>
        <w:t xml:space="preserve">MPP tracker comme entrée de batterie pour la connexion d'un système de stockage HV compatible, préparé pour une charge de batterie supplémentaire via des sources d'énergie AC existantes, fonctionnement de l'alimentation de secours avec un commutateur manuel (KOSTAL BackUp Switch </w:t>
      </w:r>
      <w:r w:rsidR="005B39A4">
        <w:rPr>
          <w:rFonts w:cs="Arial"/>
          <w:szCs w:val="20"/>
        </w:rPr>
        <w:t xml:space="preserve">ou BackUp Switch MP</w:t>
      </w:r>
      <w:r>
        <w:rPr>
          <w:rFonts w:cs="Arial"/>
          <w:szCs w:val="20"/>
        </w:rPr>
        <w:t xml:space="preserve">) ou un dispositif de commutation automatique possible, le </w:t>
      </w:r>
      <w:r>
        <w:rPr>
          <w:rFonts w:eastAsia="Times New Roman" w:cs="Arial"/>
          <w:szCs w:val="20"/>
        </w:rPr>
        <w:t xml:space="preserve">module de protection contre les surtensions DC type 2 peut être intégré en option, avec enregistreur de données, adapté pour une installation à l'intérieur et à l'extérieur, tension d'entrée max. 1000 V</w:t>
      </w:r>
      <w:r>
        <w:rPr>
          <w:rFonts w:eastAsia="Times New Roman" w:cs="Arial"/>
          <w:szCs w:val="20"/>
        </w:rPr>
        <w:t xml:space="preserve">, connexion au réseau 1000 V</w:t>
      </w:r>
      <w:r>
        <w:rPr>
          <w:rFonts w:eastAsia="Times New Roman" w:cs="Arial"/>
          <w:szCs w:val="20"/>
        </w:rPr>
        <w:t xml:space="preserve">, connexion au réseau 1000 V </w:t>
      </w:r>
      <w:r>
        <w:rPr>
          <w:rFonts w:eastAsia="Times New Roman" w:cs="Arial"/>
          <w:szCs w:val="20"/>
        </w:rPr>
        <w:t xml:space="preserve">max. Tension d'entrée 1000 V, raccordement au réseau </w:t>
      </w:r>
      <w:r>
        <w:rPr>
          <w:rFonts w:eastAsia="Times New Roman" w:cs="Arial"/>
          <w:szCs w:val="20"/>
        </w:rPr>
        <w:t xml:space="preserve">monophasé 230 V, facteur de puissance 0,8 surexcité à 0,8 </w:t>
      </w:r>
      <w:r w:rsidR="00913874">
        <w:rPr>
          <w:rFonts w:eastAsia="Times New Roman" w:cs="Arial"/>
          <w:szCs w:val="20"/>
        </w:rPr>
        <w:t xml:space="preserve">sous-excité, </w:t>
      </w:r>
      <w:r w:rsidR="00913874">
        <w:rPr>
          <w:rFonts w:eastAsia="Times New Roman" w:cs="Arial"/>
          <w:szCs w:val="20"/>
        </w:rPr>
        <w:t xml:space="preserve">rendement </w:t>
      </w:r>
      <w:r w:rsidR="005D345E">
        <w:rPr>
          <w:rFonts w:eastAsia="Times New Roman" w:cs="Arial"/>
          <w:szCs w:val="20"/>
        </w:rPr>
        <w:t xml:space="preserve">max</w:t>
      </w:r>
      <w:r w:rsidR="00486AC8">
        <w:rPr>
          <w:rFonts w:eastAsia="Times New Roman" w:cs="Arial"/>
          <w:szCs w:val="20"/>
        </w:rPr>
        <w:t xml:space="preserve">. min</w:t>
      </w:r>
      <w:r w:rsidR="00913874">
        <w:rPr>
          <w:rFonts w:eastAsia="Times New Roman" w:cs="Arial"/>
          <w:szCs w:val="20"/>
        </w:rPr>
        <w:t xml:space="preserve">. </w:t>
      </w:r>
      <w:r w:rsidR="00913874">
        <w:rPr>
          <w:rFonts w:eastAsia="Times New Roman" w:cs="Arial"/>
          <w:szCs w:val="20"/>
        </w:rPr>
        <w:t xml:space="preserve">97,</w:t>
      </w:r>
      <w:r>
        <w:rPr>
          <w:rFonts w:eastAsia="Times New Roman" w:cs="Arial"/>
          <w:szCs w:val="20"/>
        </w:rPr>
        <w:t xml:space="preserve">7 %, rendement Euro </w:t>
      </w:r>
      <w:r w:rsidR="00486AC8">
        <w:rPr>
          <w:rFonts w:eastAsia="Times New Roman" w:cs="Arial"/>
          <w:szCs w:val="20"/>
        </w:rPr>
        <w:t xml:space="preserve">min. </w:t>
      </w:r>
      <w:r w:rsidR="00913874">
        <w:rPr>
          <w:rFonts w:eastAsia="Times New Roman" w:cs="Arial"/>
          <w:szCs w:val="20"/>
        </w:rPr>
        <w:t xml:space="preserve">96</w:t>
      </w:r>
      <w:r w:rsidR="005D345E">
        <w:rPr>
          <w:rFonts w:eastAsia="Times New Roman" w:cs="Arial"/>
          <w:szCs w:val="20"/>
        </w:rPr>
        <w:t xml:space="preserve">,5 %</w:t>
      </w:r>
      <w:r>
        <w:rPr>
          <w:rFonts w:eastAsia="Times New Roman" w:cs="Arial"/>
          <w:szCs w:val="20"/>
        </w:rPr>
        <w:t xml:space="preserve">, classe de protection (selon IEC 62103) I, avec point de déconnexion automatique selon VDE 0126-1-1, indice de protection selon ICE 60529 IP 65, température ambiante -20 à +60 °C, topologie sans transformateur, raccordement DC 4...6 mm² avec connecteurs Sunclix, raccordement AC </w:t>
      </w:r>
      <w:r w:rsidR="00821EC4">
        <w:rPr>
          <w:rFonts w:eastAsia="Times New Roman" w:cs="Arial"/>
          <w:szCs w:val="20"/>
        </w:rPr>
        <w:t xml:space="preserve">2,5.</w:t>
      </w:r>
      <w:r>
        <w:rPr>
          <w:rFonts w:eastAsia="Times New Roman" w:cs="Arial"/>
          <w:szCs w:val="20"/>
        </w:rPr>
        <w:t xml:space="preserve">.</w:t>
      </w:r>
      <w:r w:rsidR="00821EC4">
        <w:rPr>
          <w:rFonts w:eastAsia="Times New Roman" w:cs="Arial"/>
          <w:szCs w:val="20"/>
        </w:rPr>
        <w:t xml:space="preserve">.</w:t>
      </w:r>
      <w:r w:rsidR="00821EC4">
        <w:rPr>
          <w:rFonts w:eastAsia="Times New Roman" w:cs="Arial"/>
          <w:szCs w:val="20"/>
        </w:rPr>
        <w:t xml:space="preserve">6 </w:t>
      </w:r>
      <w:r>
        <w:rPr>
          <w:rFonts w:eastAsia="Times New Roman" w:cs="Arial"/>
          <w:szCs w:val="20"/>
        </w:rPr>
        <w:t xml:space="preserve">mm², interfaces 2x LAN, </w:t>
      </w:r>
      <w:r w:rsidR="005B39A4">
        <w:rPr>
          <w:rFonts w:eastAsia="Times New Roman" w:cs="Arial"/>
          <w:szCs w:val="20"/>
        </w:rPr>
        <w:t xml:space="preserve">WiFi, WiFi bridge</w:t>
      </w:r>
      <w:r>
        <w:rPr>
          <w:rFonts w:eastAsia="Times New Roman" w:cs="Arial"/>
          <w:szCs w:val="20"/>
        </w:rPr>
        <w:t xml:space="preserve">, RS 485 pour la communication avec Smart Meter, USB, entrée de signal pour l'évaluation d'une protection externe contre les surtensions, 4 sorties de relais libres de potentiel (24V, 100mA) pour le contrôle de la charge (compatible SG-Ready) et interface de données pour les onduleurs en cascade, écran, indicateurs de messages LED, visualisation via serveur web intégré, écran ou application smartphone possible, avec gestion des ombres par auto-apprentissage, avec Solar Portal pour la surveillance de l'installation PV, y compris notification de défaut par défaut</w:t>
      </w:r>
      <w:r>
        <w:rPr>
          <w:rFonts w:eastAsia="Times New Roman" w:cs="Arial"/>
          <w:szCs w:val="20"/>
        </w:rPr>
        <w:t xml:space="preserve">. </w:t>
      </w:r>
      <w:r>
        <w:rPr>
          <w:rFonts w:eastAsia="Times New Roman" w:cs="Arial"/>
          <w:szCs w:val="20"/>
        </w:rPr>
        <w:t xml:space="preserve">Avis de panne par e-mail en cas de panne, intégration smart home via Modbus / Sunspec (TCP), avec connexion pour Energy Meter pour le contrôle dynamique de la puissance active et la mesure de l'autoconsommation 24 heures sur 24, avec entrée intégrée pour la connexion directe d'un récepteur de contrôle d'ondulation</w:t>
      </w:r>
      <w:bookmarkStart w:name="_GoBack" w:id="0"/>
      <w:r w:rsidR="005D345E">
        <w:rPr>
          <w:rFonts w:eastAsia="Times New Roman" w:cs="Arial"/>
          <w:szCs w:val="20"/>
        </w:rPr>
        <w:t xml:space="preserve"> ou d'un boîtier de commande FNN</w:t>
      </w:r>
      <w:r w:rsidR="005D345E">
        <w:rPr>
          <w:rFonts w:eastAsia="Times New Roman" w:cs="Arial"/>
          <w:szCs w:val="20"/>
        </w:rPr>
        <w:t xml:space="preserve">, compatible EEBus</w:t>
      </w:r>
      <w:r>
        <w:rPr>
          <w:rFonts w:eastAsia="Times New Roman" w:cs="Arial"/>
          <w:szCs w:val="20"/>
        </w:rPr>
        <w:t xml:space="preserve">,</w:t>
      </w:r>
      <w:bookmarkEnd w:id="0"/>
      <w:r>
        <w:rPr>
          <w:rFonts w:eastAsia="Times New Roman" w:cs="Arial"/>
          <w:szCs w:val="20"/>
        </w:rPr>
        <w:t xml:space="preserve"> Mise à jour du logiciel "AutoUpdate" via Internet, certification selon VDE 0100-712 et VDE-AR-N 4105.</w:t>
      </w:r>
    </w:p>
    <w:p w:rsidRPr="00A70FDC" w:rsidR="0079728C" w:rsidP="003617A4" w:rsidRDefault="0079728C" w14:paraId="696E0B9B" w14:textId="77777777">
      <w:pPr>
        <w:tabs>
          <w:tab w:val="left" w:pos="5954"/>
        </w:tabs>
        <w:autoSpaceDE w:val="0"/>
        <w:autoSpaceDN w:val="0"/>
        <w:adjustRightInd w:val="0"/>
        <w:rPr>
          <w:rFonts w:eastAsia="Times New Roman" w:cs="Arial"/>
          <w:szCs w:val="20"/>
          <w:lang w:eastAsia="de"/>
        </w:rPr>
      </w:pPr>
    </w:p>
    <w:p w:rsidR="00A70FDC" w:rsidP="00A70FDC" w:rsidRDefault="00A70FDC" w14:paraId="141407D3" w14:textId="0920DCB4">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Puissance de base : </w:t>
      </w:r>
      <w:r w:rsidR="005B39A4">
        <w:rPr>
          <w:rFonts w:eastAsia="Times New Roman" w:cs="Arial"/>
          <w:szCs w:val="20"/>
          <w:lang w:eastAsia="de-DE"/>
        </w:rPr>
        <w:t xml:space="preserve">3,0 </w:t>
      </w:r>
      <w:r>
        <w:rPr>
          <w:rFonts w:eastAsia="Times New Roman" w:cs="Arial"/>
          <w:szCs w:val="20"/>
          <w:lang w:eastAsia="de-DE"/>
        </w:rPr>
        <w:t xml:space="preserve">kW</w:t>
      </w:r>
    </w:p>
    <w:p w:rsidR="00A70FDC" w:rsidP="00A70FDC" w:rsidRDefault="00A70FDC" w14:paraId="5F7CECA3" w14:textId="26CDD775">
      <w:pPr>
        <w:tabs>
          <w:tab w:val="left" w:pos="5954"/>
        </w:tabs>
        <w:autoSpaceDE w:val="0"/>
        <w:autoSpaceDN w:val="0"/>
        <w:adjustRightInd w:val="0"/>
        <w:rPr>
          <w:rFonts w:eastAsia="Times New Roman" w:cs="Arial"/>
          <w:szCs w:val="20"/>
        </w:rPr>
      </w:pPr>
      <w:r>
        <w:rPr>
          <w:rFonts w:eastAsia="Times New Roman" w:cs="Arial"/>
          <w:szCs w:val="20"/>
          <w:lang w:eastAsia="de-DE"/>
        </w:rPr>
        <w:t xml:space="preserve">Puissance de sortie max. Puissance de sortie (cos φ = 1) </w:t>
      </w:r>
      <w:r>
        <w:rPr>
          <w:rFonts w:eastAsia="Times New Roman" w:cs="Arial"/>
          <w:szCs w:val="20"/>
        </w:rPr>
        <w:t xml:space="preserve">: </w:t>
      </w:r>
      <w:r w:rsidR="005B39A4">
        <w:rPr>
          <w:rFonts w:eastAsia="Times New Roman" w:cs="Arial"/>
          <w:szCs w:val="20"/>
        </w:rPr>
        <w:t xml:space="preserve">4,0 </w:t>
      </w:r>
      <w:r>
        <w:rPr>
          <w:rFonts w:eastAsia="Times New Roman" w:cs="Arial"/>
          <w:szCs w:val="20"/>
        </w:rPr>
        <w:t xml:space="preserve">kVA</w:t>
      </w:r>
    </w:p>
    <w:p w:rsidR="00A70FDC" w:rsidP="00A70FDC" w:rsidRDefault="00A70FDC" w14:paraId="568F11E3" w14:textId="4FF89CDC">
      <w:pPr>
        <w:tabs>
          <w:tab w:val="left" w:pos="5954"/>
        </w:tabs>
        <w:autoSpaceDE w:val="0"/>
        <w:autoSpaceDN w:val="0"/>
        <w:adjustRightInd w:val="0"/>
        <w:rPr>
          <w:rFonts w:eastAsia="Times New Roman" w:cs="Arial"/>
          <w:szCs w:val="20"/>
        </w:rPr>
      </w:pPr>
      <w:r>
        <w:rPr>
          <w:rFonts w:eastAsia="Times New Roman" w:cs="Arial"/>
          <w:szCs w:val="20"/>
        </w:rPr>
        <w:t xml:space="preserve">Sortie PV max. Puissance PV : </w:t>
      </w:r>
      <w:r w:rsidR="005B39A4">
        <w:rPr>
          <w:rFonts w:eastAsia="Times New Roman" w:cs="Arial"/>
          <w:szCs w:val="20"/>
        </w:rPr>
        <w:t xml:space="preserve">6,0 </w:t>
      </w:r>
      <w:r>
        <w:rPr>
          <w:rFonts w:eastAsia="Times New Roman" w:cs="Arial"/>
          <w:szCs w:val="20"/>
        </w:rPr>
        <w:t xml:space="preserve">kWp</w:t>
      </w:r>
    </w:p>
    <w:p w:rsidR="00A70FDC" w:rsidP="00A70FDC" w:rsidRDefault="00A70FDC" w14:paraId="49AE2827" w14:textId="06C9AD58">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Extension de puissance optionnelle niveau </w:t>
      </w:r>
      <w:r w:rsidR="005B39A4">
        <w:rPr>
          <w:rFonts w:eastAsia="Times New Roman" w:cs="Arial"/>
          <w:szCs w:val="20"/>
          <w:lang w:eastAsia="de-DE"/>
        </w:rPr>
        <w:t xml:space="preserve">1a </w:t>
      </w:r>
      <w:r>
        <w:rPr>
          <w:rFonts w:eastAsia="Times New Roman" w:cs="Arial"/>
          <w:szCs w:val="20"/>
          <w:lang w:eastAsia="de-DE"/>
        </w:rPr>
        <w:t xml:space="preserve">: </w:t>
      </w:r>
      <w:r w:rsidR="005B39A4">
        <w:rPr>
          <w:rFonts w:eastAsia="Times New Roman" w:cs="Arial"/>
          <w:szCs w:val="20"/>
          <w:lang w:eastAsia="de-DE"/>
        </w:rPr>
        <w:t xml:space="preserve">3,6 </w:t>
      </w:r>
      <w:r>
        <w:rPr>
          <w:rFonts w:eastAsia="Times New Roman" w:cs="Arial"/>
          <w:szCs w:val="20"/>
          <w:lang w:eastAsia="de-DE"/>
        </w:rPr>
        <w:t xml:space="preserve">kW</w:t>
      </w:r>
    </w:p>
    <w:p w:rsidR="00A70FDC" w:rsidP="00A70FDC" w:rsidRDefault="00A70FDC" w14:paraId="39472F38" w14:textId="6C8673E6">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Extension de puissance optionnelle niveau </w:t>
      </w:r>
      <w:r w:rsidR="005B39A4">
        <w:rPr>
          <w:rFonts w:eastAsia="Times New Roman" w:cs="Arial"/>
          <w:szCs w:val="20"/>
          <w:lang w:eastAsia="de-DE"/>
        </w:rPr>
        <w:t xml:space="preserve">1b : 4,0 </w:t>
      </w:r>
      <w:r>
        <w:rPr>
          <w:rFonts w:eastAsia="Times New Roman" w:cs="Arial"/>
          <w:szCs w:val="20"/>
          <w:lang w:eastAsia="de-DE"/>
        </w:rPr>
        <w:t xml:space="preserve">kW</w:t>
      </w:r>
    </w:p>
    <w:p w:rsidR="00A70FDC" w:rsidP="00A70FDC" w:rsidRDefault="00A70FDC" w14:paraId="7AEB4305" w14:textId="77777777">
      <w:pPr>
        <w:tabs>
          <w:tab w:val="left" w:pos="5954"/>
        </w:tabs>
        <w:autoSpaceDE w:val="0"/>
        <w:autoSpaceDN w:val="0"/>
        <w:adjustRightInd w:val="0"/>
        <w:rPr>
          <w:rFonts w:eastAsia="Times New Roman" w:cs="Arial"/>
          <w:szCs w:val="20"/>
        </w:rPr>
      </w:pPr>
      <w:r>
        <w:rPr>
          <w:rFonts w:eastAsia="Times New Roman" w:cs="Arial"/>
          <w:szCs w:val="20"/>
        </w:rPr>
        <w:t xml:space="preserve">Plage de tension de travail MPP : 75 - 900 V</w:t>
      </w:r>
    </w:p>
    <w:p w:rsidRPr="00A70FDC" w:rsidR="003617A4" w:rsidP="003617A4" w:rsidRDefault="003617A4" w14:paraId="696E0B9F" w14:textId="77777777">
      <w:pPr>
        <w:autoSpaceDE w:val="0"/>
        <w:autoSpaceDN w:val="0"/>
        <w:adjustRightInd w:val="0"/>
        <w:rPr>
          <w:rFonts w:eastAsia="Times New Roman" w:cs="Arial"/>
          <w:szCs w:val="20"/>
          <w:lang w:eastAsia="de"/>
        </w:rPr>
      </w:pPr>
    </w:p>
    <w:p w:rsidRPr="003617A4" w:rsidR="003617A4" w:rsidP="003617A4" w:rsidRDefault="003617A4" w14:paraId="696E0BA0"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Fabricant/type</w:t>
      </w:r>
    </w:p>
    <w:p w:rsidRPr="003617A4" w:rsidR="003617A4" w:rsidP="003617A4" w:rsidRDefault="003617A4" w14:paraId="696E0BA1" w14:textId="4D9E82BB">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Kostal / PLENTICORE </w:t>
      </w:r>
      <w:r w:rsidR="005B39A4">
        <w:rPr>
          <w:rFonts w:eastAsia="Times New Roman" w:cs="Arial"/>
          <w:szCs w:val="20"/>
          <w:lang w:val="de" w:eastAsia="de"/>
        </w:rPr>
        <w:t xml:space="preserve">MP S </w:t>
      </w:r>
      <w:r w:rsidR="00A70FDC">
        <w:rPr>
          <w:rFonts w:eastAsia="Times New Roman" w:cs="Arial"/>
          <w:szCs w:val="20"/>
          <w:lang w:val="de" w:eastAsia="de"/>
        </w:rPr>
        <w:t xml:space="preserve">G3</w:t>
      </w:r>
      <w:r w:rsidRPr="003617A4">
        <w:rPr>
          <w:rFonts w:eastAsia="Times New Roman" w:cs="Arial"/>
          <w:szCs w:val="20"/>
          <w:lang w:val="de" w:eastAsia="de"/>
        </w:rPr>
        <w:br/>
      </w:r>
      <w:r w:rsidRPr="003617A4">
        <w:rPr>
          <w:rFonts w:eastAsia="Times New Roman" w:cs="Arial"/>
          <w:szCs w:val="20"/>
          <w:lang w:val="de" w:eastAsia="de"/>
        </w:rPr>
        <w:t xml:space="preserve">ou équivalent</w:t>
      </w:r>
    </w:p>
    <w:p w:rsidRPr="003617A4" w:rsidR="003617A4" w:rsidP="003617A4" w:rsidRDefault="003617A4" w14:paraId="696E0BA2"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Fabricant/type</w:t>
      </w:r>
    </w:p>
    <w:p w:rsidR="003617A4" w:rsidP="003617A4" w:rsidRDefault="003617A4" w14:paraId="696E0BA3" w14:textId="77777777">
      <w:r w:rsidRPr="003617A4">
        <w:rPr>
          <w:rFonts w:eastAsia="Times New Roman" w:cs="Arial"/>
          <w:szCs w:val="20"/>
          <w:lang w:val="de" w:eastAsia="de"/>
        </w:rPr>
        <w:t xml:space="preserve">'....................................................'</w:t>
      </w:r>
      <w:r w:rsidRPr="003617A4">
        <w:rPr>
          <w:rFonts w:eastAsia="Times New Roman" w:cs="Arial"/>
          <w:szCs w:val="20"/>
          <w:lang w:val="de" w:eastAsia="de"/>
        </w:rPr>
        <w:br/>
      </w:r>
      <w:r w:rsidRPr="003617A4">
        <w:rPr>
          <w:rFonts w:eastAsia="Times New Roman" w:cs="Arial"/>
          <w:szCs w:val="20"/>
          <w:lang w:val="de" w:eastAsia="de"/>
        </w:rPr>
        <w:t xml:space="preserve">à saisir par le soumissionnaire.</w:t>
      </w:r>
    </w:p>
    <w:sectPr w:rsidR="003617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26" w:rsidP="00041126" w:rsidRDefault="00041126" w14:paraId="39DB5513" w14:textId="77777777">
      <w:r>
        <w:separator/>
      </w:r>
    </w:p>
  </w:endnote>
  <w:endnote w:type="continuationSeparator" w:id="0">
    <w:p w:rsidR="00041126" w:rsidP="00041126" w:rsidRDefault="00041126" w14:paraId="2B2259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26" w:rsidP="00041126" w:rsidRDefault="00041126" w14:paraId="10B2302E" w14:textId="77777777">
      <w:r>
        <w:separator/>
      </w:r>
    </w:p>
  </w:footnote>
  <w:footnote w:type="continuationSeparator" w:id="0">
    <w:p w:rsidR="00041126" w:rsidP="00041126" w:rsidRDefault="00041126" w14:paraId="384EA5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041126"/>
    <w:rsid w:val="00111F51"/>
    <w:rsid w:val="00294ED9"/>
    <w:rsid w:val="003617A4"/>
    <w:rsid w:val="00486AC8"/>
    <w:rsid w:val="00515C82"/>
    <w:rsid w:val="005B39A4"/>
    <w:rsid w:val="005D345E"/>
    <w:rsid w:val="0070354D"/>
    <w:rsid w:val="00721FFE"/>
    <w:rsid w:val="0079728C"/>
    <w:rsid w:val="00821EC4"/>
    <w:rsid w:val="00913874"/>
    <w:rsid w:val="00A70FDC"/>
    <w:rsid w:val="00D21AEF"/>
    <w:rsid w:val="00E73F7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041126"/>
    <w:pPr>
      <w:tabs>
        <w:tab w:val="center" w:pos="4536"/>
        <w:tab w:val="right" w:pos="9072"/>
      </w:tabs>
    </w:pPr>
  </w:style>
  <w:style w:type="character" w:customStyle="1" w:styleId="KopfzeileZchn">
    <w:name w:val="Kopfzeile Zchn"/>
    <w:basedOn w:val="Absatz-Standardschriftart"/>
    <w:link w:val="Kopfzeile"/>
    <w:uiPriority w:val="99"/>
    <w:rsid w:val="00041126"/>
    <w:rPr>
      <w:rFonts w:ascii="Arial" w:hAnsi="Arial"/>
      <w:sz w:val="20"/>
    </w:rPr>
  </w:style>
  <w:style w:type="paragraph" w:styleId="Fuzeile">
    <w:name w:val="footer"/>
    <w:basedOn w:val="Standard"/>
    <w:link w:val="FuzeileZchn"/>
    <w:uiPriority w:val="99"/>
    <w:unhideWhenUsed/>
    <w:rsid w:val="00041126"/>
    <w:pPr>
      <w:tabs>
        <w:tab w:val="center" w:pos="4536"/>
        <w:tab w:val="right" w:pos="9072"/>
      </w:tabs>
    </w:pPr>
  </w:style>
  <w:style w:type="character" w:customStyle="1" w:styleId="FuzeileZchn">
    <w:name w:val="Fußzeile Zchn"/>
    <w:basedOn w:val="Absatz-Standardschriftart"/>
    <w:link w:val="Fuzeile"/>
    <w:uiPriority w:val="99"/>
    <w:rsid w:val="0004112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735780-CFBC-4438-AC5D-B47E32D6FC29}">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microsoft.com/sharepoint/v3"/>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411CDB7E-4065-49E4-BDF0-C008150957F6}">
  <ds:schemaRefs>
    <ds:schemaRef ds:uri="http://schemas.microsoft.com/sharepoint/v3/contenttype/forms"/>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2161</Characters>
  <Application>Microsoft Office Word</Application>
  <DocSecurity>0</DocSecurity>
  <Lines>18</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2500</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docId:65101C1037EA7825D9DB90293AC38BD5</keywords>
  <dc:description/>
  <lastModifiedBy>Schmalenberg, Andreas</lastModifiedBy>
  <revision>14</revision>
  <dcterms:created xsi:type="dcterms:W3CDTF">2021-12-09T10:01:00.0000000Z</dcterms:created>
  <dcterms:modified xsi:type="dcterms:W3CDTF">2025-06-05T10:15:00.0000000Z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