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F51" w:rsidRDefault="003617A4" w14:paraId="696E0B98" w14:textId="0E3795A9">
      <w:pPr>
        <w:rPr>
          <w:rFonts w:cs="Arial"/>
          <w:b/>
          <w:bCs/>
          <w:szCs w:val="20"/>
          <w:lang w:val="de" w:eastAsia="de"/>
        </w:rPr>
      </w:pPr>
      <w:r>
        <w:rPr>
          <w:rFonts w:cs="Arial"/>
          <w:b/>
          <w:bCs/>
          <w:szCs w:val="20"/>
          <w:lang w:val="de" w:eastAsia="de"/>
        </w:rPr>
        <w:t xml:space="preserve">Inversor fotovoltaico, trifásico, </w:t>
      </w:r>
      <w:r w:rsidR="00A70FDC">
        <w:rPr>
          <w:rFonts w:cs="Arial"/>
          <w:b/>
          <w:bCs/>
          <w:szCs w:val="20"/>
          <w:lang w:eastAsia="zh-CN"/>
        </w:rPr>
        <w:t xml:space="preserve">8,5...12,5 kVA</w:t>
      </w:r>
      <w:r>
        <w:rPr>
          <w:rFonts w:cs="Arial"/>
          <w:b/>
          <w:bCs/>
          <w:szCs w:val="20"/>
          <w:lang w:val="de" w:eastAsia="de"/>
        </w:rPr>
        <w:t xml:space="preserve">, seguidor 3MPP</w:t>
      </w:r>
    </w:p>
    <w:p w:rsidR="003617A4" w:rsidRDefault="003617A4" w14:paraId="696E0B99" w14:textId="77777777">
      <w:pPr>
        <w:rPr>
          <w:rFonts w:cs="Arial"/>
          <w:b/>
          <w:bCs/>
          <w:szCs w:val="20"/>
          <w:lang w:val="de" w:eastAsia="de"/>
        </w:rPr>
      </w:pPr>
    </w:p>
    <w:p w:rsidR="00A70FDC" w:rsidP="00A70FDC" w:rsidRDefault="00A70FDC" w14:paraId="2D15100A" w14:textId="4F119A1F">
      <w:pPr>
        <w:autoSpaceDE w:val="0"/>
        <w:autoSpaceDN w:val="0"/>
        <w:adjustRightInd w:val="0"/>
        <w:jc w:val="both"/>
        <w:rPr>
          <w:rFonts w:eastAsia="Times New Roman" w:cs="Arial"/>
          <w:szCs w:val="20"/>
        </w:rPr>
      </w:pPr>
      <w:r>
        <w:rPr>
          <w:rFonts w:cs="Arial"/>
          <w:szCs w:val="20"/>
        </w:rPr>
        <w:t xml:space="preserve">Inversor trifásico sin transformador </w:t>
      </w:r>
      <w:r>
        <w:rPr>
          <w:rFonts w:eastAsia="Times New Roman" w:cs="Arial"/>
          <w:szCs w:val="20"/>
        </w:rPr>
        <w:t xml:space="preserve">para instalaciones fotovoltaicas con 3 seguidores MPP </w:t>
      </w:r>
      <w:r w:rsidRPr="00A70FDC">
        <w:rPr>
          <w:rFonts w:eastAsia="Times New Roman" w:cs="Arial"/>
          <w:szCs w:val="20"/>
        </w:rPr>
        <w:t xml:space="preserve">(</w:t>
      </w:r>
      <w:r w:rsidRPr="00721FFE" w:rsidR="00721FFE">
        <w:rPr>
          <w:rFonts w:eastAsia="Times New Roman" w:cs="Arial"/>
          <w:szCs w:val="20"/>
        </w:rPr>
        <w:t xml:space="preserve">17A/17A/30A máx. corriente MPPT)</w:t>
      </w:r>
      <w:r>
        <w:rPr>
          <w:rFonts w:eastAsia="Times New Roman" w:cs="Arial"/>
          <w:szCs w:val="20"/>
        </w:rPr>
        <w:t xml:space="preserve">, </w:t>
      </w:r>
      <w:r>
        <w:rPr>
          <w:rFonts w:cs="Arial"/>
          <w:szCs w:val="20"/>
        </w:rPr>
        <w:t xml:space="preserve">de uso universal como inversor solar, híbrido o de batería</w:t>
      </w:r>
      <w:r>
        <w:rPr>
          <w:rFonts w:eastAsia="Times New Roman" w:cs="Arial"/>
          <w:szCs w:val="20"/>
        </w:rPr>
        <w:t xml:space="preserve">, ampliación de potencia opcional </w:t>
      </w:r>
      <w:r>
        <w:rPr>
          <w:rFonts w:cs="Arial"/>
          <w:szCs w:val="20"/>
        </w:rPr>
        <w:t xml:space="preserve">con código de activación</w:t>
      </w:r>
      <w:r>
        <w:rPr>
          <w:rFonts w:eastAsia="Times New Roman" w:cs="Arial"/>
          <w:szCs w:val="20"/>
        </w:rPr>
        <w:t xml:space="preserve">, </w:t>
      </w:r>
      <w:r>
        <w:rPr>
          <w:rFonts w:cs="Arial"/>
          <w:szCs w:val="20"/>
        </w:rPr>
        <w:t xml:space="preserve">activación opcional del 3er </w:t>
      </w:r>
      <w:r>
        <w:rPr>
          <w:rFonts w:eastAsia="Times New Roman" w:cs="Arial"/>
          <w:szCs w:val="20"/>
        </w:rPr>
        <w:t xml:space="preserve">seguidor MPP como entrada de batería para la conexión de un sistema de almacenamiento de AT compatible</w:t>
      </w:r>
      <w:r>
        <w:rPr>
          <w:rFonts w:eastAsia="Times New Roman" w:cs="Arial"/>
          <w:szCs w:val="20"/>
        </w:rPr>
        <w:t xml:space="preserve">, preparado para la carga adicional de la batería a través de fuentes de energía de CA existentes, </w:t>
      </w:r>
      <w:r>
        <w:rPr>
          <w:rFonts w:eastAsia="Times New Roman" w:cs="Arial"/>
          <w:szCs w:val="20"/>
        </w:rPr>
        <w:t xml:space="preserve">funcionamiento de energía de </w:t>
      </w:r>
      <w:r>
        <w:rPr>
          <w:rFonts w:eastAsia="Times New Roman" w:cs="Arial"/>
          <w:szCs w:val="20"/>
        </w:rPr>
        <w:t xml:space="preserve">reserva </w:t>
      </w:r>
      <w:r>
        <w:rPr>
          <w:rFonts w:cs="Arial"/>
          <w:szCs w:val="20"/>
        </w:rPr>
        <w:t xml:space="preserve">con conmutador manual (</w:t>
      </w:r>
      <w:r>
        <w:rPr>
          <w:rFonts w:eastAsia="Times New Roman" w:cs="Arial"/>
          <w:szCs w:val="20"/>
        </w:rPr>
        <w:t xml:space="preserve">seguidor </w:t>
      </w:r>
      <w:r w:rsidRPr="00721FFE" w:rsidR="00721FFE">
        <w:rPr>
          <w:rFonts w:eastAsia="Times New Roman" w:cs="Arial"/>
          <w:szCs w:val="20"/>
        </w:rPr>
        <w:t xml:space="preserve">MPP </w:t>
      </w:r>
      <w:r>
        <w:rPr>
          <w:rFonts w:cs="Arial"/>
          <w:szCs w:val="20"/>
        </w:rPr>
        <w:t xml:space="preserve">KOSTER</w:t>
      </w:r>
      <w:r w:rsidRPr="00721FFE" w:rsidR="00721FFE">
        <w:rPr>
          <w:rFonts w:eastAsia="Times New Roman" w:cs="Arial"/>
          <w:szCs w:val="20"/>
        </w:rPr>
        <w:t xml:space="preserve">). </w:t>
      </w:r>
      <w:r>
        <w:rPr>
          <w:rFonts w:cs="Arial"/>
          <w:szCs w:val="20"/>
        </w:rPr>
        <w:t xml:space="preserve">Seguidor MPP como entrada de batería para la conexión de un sistema de almacenamiento de AT compatible, preparado para la carga adicional de la batería a través de fuentes de energía de CA existentes, funcionamiento de alimentación de reserva con conmutador manual (KOSTAL BackUp Switch) o dispositivo de conmutación automática posible, </w:t>
      </w:r>
      <w:r>
        <w:rPr>
          <w:rFonts w:eastAsia="Times New Roman" w:cs="Arial"/>
          <w:szCs w:val="20"/>
        </w:rPr>
        <w:t xml:space="preserve">módulo de protección contra sobretensión de CC tipo 2 integrable opcionalmente, con registrador de datos, apto para instalación en interiores y exteriores, tensión de entrada </w:t>
      </w:r>
      <w:r>
        <w:rPr>
          <w:rFonts w:eastAsia="Times New Roman" w:cs="Arial"/>
          <w:szCs w:val="20"/>
        </w:rPr>
        <w:t xml:space="preserve">máx. </w:t>
      </w:r>
      <w:r>
        <w:rPr>
          <w:rFonts w:eastAsia="Times New Roman" w:cs="Arial"/>
          <w:szCs w:val="20"/>
        </w:rPr>
        <w:t xml:space="preserve">1000 V, conexión a la red 1000 V, conexión a la red 1000 V </w:t>
      </w:r>
      <w:r>
        <w:rPr>
          <w:rFonts w:eastAsia="Times New Roman" w:cs="Arial"/>
          <w:szCs w:val="20"/>
        </w:rPr>
        <w:t xml:space="preserve">máx. Tensión de entrada 1000 V, conexión a red trifásica 400 V/230 V, factor de potencia 0,8 sobreexcitado a 0,8 subexcitado, </w:t>
      </w:r>
      <w:r>
        <w:rPr>
          <w:rFonts w:eastAsia="Times New Roman" w:cs="Arial"/>
          <w:szCs w:val="20"/>
        </w:rPr>
        <w:t xml:space="preserve">rendimiento </w:t>
      </w:r>
      <w:r w:rsidR="00FF2B82">
        <w:rPr>
          <w:rFonts w:eastAsia="Times New Roman" w:cs="Arial"/>
          <w:szCs w:val="20"/>
        </w:rPr>
        <w:t xml:space="preserve">máx. mín. </w:t>
      </w:r>
      <w:r>
        <w:rPr>
          <w:rFonts w:eastAsia="Times New Roman" w:cs="Arial"/>
          <w:szCs w:val="20"/>
        </w:rPr>
        <w:t xml:space="preserve">98</w:t>
      </w:r>
      <w:r w:rsidR="00041126">
        <w:rPr>
          <w:rFonts w:eastAsia="Times New Roman" w:cs="Arial"/>
          <w:szCs w:val="20"/>
        </w:rPr>
        <w:t xml:space="preserve">,14 </w:t>
      </w:r>
      <w:r>
        <w:rPr>
          <w:rFonts w:eastAsia="Times New Roman" w:cs="Arial"/>
          <w:szCs w:val="20"/>
        </w:rPr>
        <w:t xml:space="preserve">%, rendimiento Euro </w:t>
      </w:r>
      <w:r w:rsidR="00FF2B82">
        <w:rPr>
          <w:rFonts w:eastAsia="Times New Roman" w:cs="Arial"/>
          <w:szCs w:val="20"/>
        </w:rPr>
        <w:t xml:space="preserve">mín. </w:t>
      </w:r>
      <w:r>
        <w:rPr>
          <w:rFonts w:eastAsia="Times New Roman" w:cs="Arial"/>
          <w:szCs w:val="20"/>
        </w:rPr>
        <w:t xml:space="preserve">97</w:t>
      </w:r>
      <w:r w:rsidR="00041126">
        <w:rPr>
          <w:rFonts w:eastAsia="Times New Roman" w:cs="Arial"/>
          <w:szCs w:val="20"/>
        </w:rPr>
        <w:t xml:space="preserve">,49 </w:t>
      </w:r>
      <w:r>
        <w:rPr>
          <w:rFonts w:eastAsia="Times New Roman" w:cs="Arial"/>
          <w:szCs w:val="20"/>
        </w:rPr>
        <w:t xml:space="preserve">%, clase de protección (según IEC 62103) I, con punto de desconexión automática según VDE 0126-1-1, grado de protección según ICE 60529 IP 65, temperatura ambiente -20 a +60 °C, topología sin transformador, conexión CC 4...6 mm² con conectores Sunclix, conexión CA </w:t>
      </w:r>
      <w:r w:rsidR="00821EC4">
        <w:rPr>
          <w:rFonts w:eastAsia="Times New Roman" w:cs="Arial"/>
          <w:szCs w:val="20"/>
        </w:rPr>
        <w:t xml:space="preserve">2,5</w:t>
      </w:r>
      <w:r>
        <w:rPr>
          <w:rFonts w:eastAsia="Times New Roman" w:cs="Arial"/>
          <w:szCs w:val="20"/>
        </w:rPr>
        <w:t xml:space="preserve">...</w:t>
      </w:r>
      <w:r w:rsidR="00821EC4">
        <w:rPr>
          <w:rFonts w:eastAsia="Times New Roman" w:cs="Arial"/>
          <w:szCs w:val="20"/>
        </w:rPr>
        <w:t xml:space="preserve">6 </w:t>
      </w:r>
      <w:r>
        <w:rPr>
          <w:rFonts w:eastAsia="Times New Roman" w:cs="Arial"/>
          <w:szCs w:val="20"/>
        </w:rPr>
        <w:t xml:space="preserve">mm², interfaces 2x LAN, WIFI, RS 485 para comunicación con Smart Meter, USB, entrada de señal para evaluar una protección externa contra sobretensión, 4 salidas de relé libres de potencial (24 V, 100 mA) para control de carga (compatible con SG-Ready) e interfaz de datos para inversores en cascada, pantalla, indicadores LED de mensajes, visualización mediante servidor web integrado, pantalla o aplicación para smartphone posible, con gestión de sombras de autoaprendizaje, con Portal Solar para monitorizar la instalación fotovoltaica incl. notificación de errores en caso de fallo, con gestión de sombras de autoaprendizaje, con Portal Solar para monitorizar la instalación fotovoltaica incl. notificación de errores en caso de fallo, con gestión de sombras de autoaprendizaje. </w:t>
      </w:r>
      <w:r>
        <w:rPr>
          <w:rFonts w:eastAsia="Times New Roman" w:cs="Arial"/>
          <w:szCs w:val="20"/>
        </w:rPr>
        <w:t xml:space="preserve">notificación de errores por correo electrónico en caso de avería, integración en casa inteligente a través de Modbus / Sunspec (TCP), con conexión para Energy Meter para el control dinámico de la potencia activa y la medición del autoconsumo durante 24 horas, con entrada integrada para la conexión directa de un receptor de control de ondulación </w:t>
      </w:r>
      <w:r w:rsidR="005B13C5">
        <w:rPr>
          <w:rFonts w:eastAsia="Times New Roman" w:cs="Arial"/>
          <w:szCs w:val="20"/>
        </w:rPr>
        <w:t xml:space="preserve">o una caja de control FNN, compatible con EEBus</w:t>
      </w:r>
      <w:bookmarkStart w:name="_GoBack" w:id="0"/>
      <w:bookmarkEnd w:id="0"/>
      <w:r>
        <w:rPr>
          <w:rFonts w:eastAsia="Times New Roman" w:cs="Arial"/>
          <w:szCs w:val="20"/>
        </w:rPr>
        <w:t xml:space="preserve"> , actualización de software "AutoUpdate" a través de Internet, certificación según VDE 0100-712 y VDE-AR-N 4105.</w:t>
      </w:r>
    </w:p>
    <w:p w:rsidRPr="00A70FDC" w:rsidR="0079728C" w:rsidP="003617A4" w:rsidRDefault="0079728C" w14:paraId="696E0B9B" w14:textId="77777777">
      <w:pPr>
        <w:tabs>
          <w:tab w:val="left" w:pos="5954"/>
        </w:tabs>
        <w:autoSpaceDE w:val="0"/>
        <w:autoSpaceDN w:val="0"/>
        <w:adjustRightInd w:val="0"/>
        <w:rPr>
          <w:rFonts w:eastAsia="Times New Roman" w:cs="Arial"/>
          <w:szCs w:val="20"/>
          <w:lang w:eastAsia="de"/>
        </w:rPr>
      </w:pPr>
    </w:p>
    <w:p w:rsidR="00A70FDC" w:rsidP="00A70FDC" w:rsidRDefault="00A70FDC" w14:paraId="141407D3" w14:textId="315E9359">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Potencia básica: 8,5 kW</w:t>
      </w:r>
    </w:p>
    <w:p w:rsidR="00A70FDC" w:rsidP="00A70FDC" w:rsidRDefault="00A70FDC" w14:paraId="5F7CECA3" w14:textId="3DBBDC7D">
      <w:pPr>
        <w:tabs>
          <w:tab w:val="left" w:pos="5954"/>
        </w:tabs>
        <w:autoSpaceDE w:val="0"/>
        <w:autoSpaceDN w:val="0"/>
        <w:adjustRightInd w:val="0"/>
        <w:rPr>
          <w:rFonts w:eastAsia="Times New Roman" w:cs="Arial"/>
          <w:szCs w:val="20"/>
        </w:rPr>
      </w:pPr>
      <w:r>
        <w:rPr>
          <w:rFonts w:eastAsia="Times New Roman" w:cs="Arial"/>
          <w:szCs w:val="20"/>
          <w:lang w:eastAsia="de-DE"/>
        </w:rPr>
        <w:t xml:space="preserve">Máx. Potencia de salida (cos φ = 1)</w:t>
      </w:r>
      <w:r>
        <w:rPr>
          <w:rFonts w:eastAsia="Times New Roman" w:cs="Arial"/>
          <w:szCs w:val="20"/>
        </w:rPr>
        <w:t xml:space="preserve">: 12,5 kVA</w:t>
      </w:r>
    </w:p>
    <w:p w:rsidR="00A70FDC" w:rsidP="00A70FDC" w:rsidRDefault="00A70FDC" w14:paraId="568F11E3" w14:textId="1A109C03">
      <w:pPr>
        <w:tabs>
          <w:tab w:val="left" w:pos="5954"/>
        </w:tabs>
        <w:autoSpaceDE w:val="0"/>
        <w:autoSpaceDN w:val="0"/>
        <w:adjustRightInd w:val="0"/>
        <w:rPr>
          <w:rFonts w:eastAsia="Times New Roman" w:cs="Arial"/>
          <w:szCs w:val="20"/>
        </w:rPr>
      </w:pPr>
      <w:r>
        <w:rPr>
          <w:rFonts w:eastAsia="Times New Roman" w:cs="Arial"/>
          <w:szCs w:val="20"/>
        </w:rPr>
        <w:t xml:space="preserve">Max. Potencia fotovoltaica: 18,75 kWp</w:t>
      </w:r>
    </w:p>
    <w:p w:rsidR="00A70FDC" w:rsidP="00A70FDC" w:rsidRDefault="00A70FDC" w14:paraId="49AE2827" w14:textId="7F957596">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Ampliación de potencia opcional nivel 1: 10 kW</w:t>
      </w:r>
    </w:p>
    <w:p w:rsidR="00A70FDC" w:rsidP="00A70FDC" w:rsidRDefault="00A70FDC" w14:paraId="39472F38" w14:textId="3EC90185">
      <w:pPr>
        <w:tabs>
          <w:tab w:val="left" w:pos="5954"/>
        </w:tabs>
        <w:autoSpaceDE w:val="0"/>
        <w:autoSpaceDN w:val="0"/>
        <w:adjustRightInd w:val="0"/>
        <w:rPr>
          <w:rFonts w:eastAsia="Times New Roman" w:cs="Arial"/>
          <w:szCs w:val="20"/>
          <w:lang w:eastAsia="de-DE"/>
        </w:rPr>
      </w:pPr>
      <w:r>
        <w:rPr>
          <w:rFonts w:eastAsia="Times New Roman" w:cs="Arial"/>
          <w:szCs w:val="20"/>
          <w:lang w:eastAsia="de-DE"/>
        </w:rPr>
        <w:t xml:space="preserve">Ampliación de potencia opcional nivel 2: 12,5 kW</w:t>
      </w:r>
    </w:p>
    <w:p w:rsidR="00A70FDC" w:rsidP="00A70FDC" w:rsidRDefault="00A70FDC" w14:paraId="7AEB4305" w14:textId="77777777">
      <w:pPr>
        <w:tabs>
          <w:tab w:val="left" w:pos="5954"/>
        </w:tabs>
        <w:autoSpaceDE w:val="0"/>
        <w:autoSpaceDN w:val="0"/>
        <w:adjustRightInd w:val="0"/>
        <w:rPr>
          <w:rFonts w:eastAsia="Times New Roman" w:cs="Arial"/>
          <w:szCs w:val="20"/>
        </w:rPr>
      </w:pPr>
      <w:r>
        <w:rPr>
          <w:rFonts w:eastAsia="Times New Roman" w:cs="Arial"/>
          <w:szCs w:val="20"/>
        </w:rPr>
        <w:t xml:space="preserve">Rango de tensión de funcionamiento MPP: 75 - 900 V</w:t>
      </w:r>
    </w:p>
    <w:p w:rsidRPr="00A70FDC" w:rsidR="003617A4" w:rsidP="003617A4" w:rsidRDefault="003617A4" w14:paraId="696E0B9F" w14:textId="77777777">
      <w:pPr>
        <w:autoSpaceDE w:val="0"/>
        <w:autoSpaceDN w:val="0"/>
        <w:adjustRightInd w:val="0"/>
        <w:rPr>
          <w:rFonts w:eastAsia="Times New Roman" w:cs="Arial"/>
          <w:szCs w:val="20"/>
          <w:lang w:eastAsia="de"/>
        </w:rPr>
      </w:pPr>
    </w:p>
    <w:p w:rsidRPr="003617A4" w:rsidR="003617A4" w:rsidP="003617A4" w:rsidRDefault="003617A4" w14:paraId="696E0BA0" w14:textId="77777777">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Fabricante/Tipo</w:t>
      </w:r>
    </w:p>
    <w:p w:rsidRPr="003617A4" w:rsidR="003617A4" w:rsidP="003617A4" w:rsidRDefault="003617A4" w14:paraId="696E0BA1" w14:textId="1BAE96BC">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'Kostal / PLENTICORE </w:t>
      </w:r>
      <w:r w:rsidR="00A70FDC">
        <w:rPr>
          <w:rFonts w:eastAsia="Times New Roman" w:cs="Arial"/>
          <w:szCs w:val="20"/>
          <w:lang w:val="de" w:eastAsia="de"/>
        </w:rPr>
        <w:t xml:space="preserve">M G3</w:t>
      </w:r>
      <w:r w:rsidRPr="003617A4">
        <w:rPr>
          <w:rFonts w:eastAsia="Times New Roman" w:cs="Arial"/>
          <w:szCs w:val="20"/>
          <w:lang w:val="de" w:eastAsia="de"/>
        </w:rPr>
        <w:br/>
      </w:r>
      <w:r w:rsidRPr="003617A4">
        <w:rPr>
          <w:rFonts w:eastAsia="Times New Roman" w:cs="Arial"/>
          <w:szCs w:val="20"/>
          <w:lang w:val="de" w:eastAsia="de"/>
        </w:rPr>
        <w:t xml:space="preserve">o equivalente</w:t>
      </w:r>
    </w:p>
    <w:p w:rsidRPr="003617A4" w:rsidR="003617A4" w:rsidP="003617A4" w:rsidRDefault="003617A4" w14:paraId="696E0BA2" w14:textId="77777777">
      <w:pPr>
        <w:autoSpaceDE w:val="0"/>
        <w:autoSpaceDN w:val="0"/>
        <w:adjustRightInd w:val="0"/>
        <w:rPr>
          <w:rFonts w:eastAsia="Times New Roman" w:cs="Arial"/>
          <w:szCs w:val="20"/>
          <w:lang w:val="de" w:eastAsia="de"/>
        </w:rPr>
      </w:pPr>
      <w:r w:rsidRPr="003617A4">
        <w:rPr>
          <w:rFonts w:eastAsia="Times New Roman" w:cs="Arial"/>
          <w:szCs w:val="20"/>
          <w:lang w:val="de" w:eastAsia="de"/>
        </w:rPr>
        <w:t xml:space="preserve">Fabricante/Tipo</w:t>
      </w:r>
    </w:p>
    <w:p w:rsidR="003617A4" w:rsidP="003617A4" w:rsidRDefault="003617A4" w14:paraId="696E0BA3" w14:textId="77777777">
      <w:r w:rsidRPr="003617A4">
        <w:rPr>
          <w:rFonts w:eastAsia="Times New Roman" w:cs="Arial"/>
          <w:szCs w:val="20"/>
          <w:lang w:val="de" w:eastAsia="de"/>
        </w:rPr>
        <w:t xml:space="preserve">'....................................................'</w:t>
      </w:r>
      <w:r w:rsidRPr="003617A4">
        <w:rPr>
          <w:rFonts w:eastAsia="Times New Roman" w:cs="Arial"/>
          <w:szCs w:val="20"/>
          <w:lang w:val="de" w:eastAsia="de"/>
        </w:rPr>
        <w:br/>
      </w:r>
      <w:r w:rsidRPr="003617A4">
        <w:rPr>
          <w:rFonts w:eastAsia="Times New Roman" w:cs="Arial"/>
          <w:szCs w:val="20"/>
          <w:lang w:val="de" w:eastAsia="de"/>
        </w:rPr>
        <w:t xml:space="preserve">que deberá introducir el licitador.</w:t>
      </w:r>
    </w:p>
    <w:sectPr w:rsidR="003617A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1126" w:rsidP="00041126" w:rsidRDefault="00041126" w14:paraId="39DB5513" w14:textId="77777777">
      <w:r>
        <w:separator/>
      </w:r>
    </w:p>
  </w:endnote>
  <w:endnote w:type="continuationSeparator" w:id="0">
    <w:p w:rsidR="00041126" w:rsidP="00041126" w:rsidRDefault="00041126" w14:paraId="2B2259A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1126" w:rsidP="00041126" w:rsidRDefault="00041126" w14:paraId="10B2302E" w14:textId="77777777">
      <w:r>
        <w:separator/>
      </w:r>
    </w:p>
  </w:footnote>
  <w:footnote w:type="continuationSeparator" w:id="0">
    <w:p w:rsidR="00041126" w:rsidP="00041126" w:rsidRDefault="00041126" w14:paraId="384EA510"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F75"/>
    <w:rsid w:val="00041126"/>
    <w:rsid w:val="00071466"/>
    <w:rsid w:val="00111F51"/>
    <w:rsid w:val="00294ED9"/>
    <w:rsid w:val="003617A4"/>
    <w:rsid w:val="003B554C"/>
    <w:rsid w:val="00515C82"/>
    <w:rsid w:val="005B13C5"/>
    <w:rsid w:val="0070354D"/>
    <w:rsid w:val="00721FFE"/>
    <w:rsid w:val="0079728C"/>
    <w:rsid w:val="00821EC4"/>
    <w:rsid w:val="00A70FDC"/>
    <w:rsid w:val="00D21AEF"/>
    <w:rsid w:val="00E73F75"/>
    <w:rsid w:val="00FF2B82"/>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96E0B98"/>
  <w15:chartTrackingRefBased/>
  <w15:docId w15:val="{CF1CD97D-4908-4F68-BCE3-D926BB23C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3617A4"/>
    <w:pPr>
      <w:autoSpaceDE w:val="0"/>
      <w:autoSpaceDN w:val="0"/>
      <w:adjustRightInd w:val="0"/>
      <w:spacing w:before="100" w:after="100"/>
    </w:pPr>
    <w:rPr>
      <w:rFonts w:ascii="Times New Roman" w:hAnsi="Times New Roman" w:cs="Times New Roman"/>
      <w:sz w:val="24"/>
      <w:szCs w:val="24"/>
      <w:lang w:val="x-none"/>
    </w:rPr>
  </w:style>
  <w:style w:type="paragraph" w:styleId="Kopfzeile">
    <w:name w:val="header"/>
    <w:basedOn w:val="Standard"/>
    <w:link w:val="KopfzeileZchn"/>
    <w:uiPriority w:val="99"/>
    <w:unhideWhenUsed/>
    <w:rsid w:val="00041126"/>
    <w:pPr>
      <w:tabs>
        <w:tab w:val="center" w:pos="4536"/>
        <w:tab w:val="right" w:pos="9072"/>
      </w:tabs>
    </w:pPr>
  </w:style>
  <w:style w:type="character" w:customStyle="1" w:styleId="KopfzeileZchn">
    <w:name w:val="Kopfzeile Zchn"/>
    <w:basedOn w:val="Absatz-Standardschriftart"/>
    <w:link w:val="Kopfzeile"/>
    <w:uiPriority w:val="99"/>
    <w:rsid w:val="00041126"/>
    <w:rPr>
      <w:rFonts w:ascii="Arial" w:hAnsi="Arial"/>
      <w:sz w:val="20"/>
    </w:rPr>
  </w:style>
  <w:style w:type="paragraph" w:styleId="Fuzeile">
    <w:name w:val="footer"/>
    <w:basedOn w:val="Standard"/>
    <w:link w:val="FuzeileZchn"/>
    <w:uiPriority w:val="99"/>
    <w:unhideWhenUsed/>
    <w:rsid w:val="00041126"/>
    <w:pPr>
      <w:tabs>
        <w:tab w:val="center" w:pos="4536"/>
        <w:tab w:val="right" w:pos="9072"/>
      </w:tabs>
    </w:pPr>
  </w:style>
  <w:style w:type="character" w:customStyle="1" w:styleId="FuzeileZchn">
    <w:name w:val="Fußzeile Zchn"/>
    <w:basedOn w:val="Absatz-Standardschriftart"/>
    <w:link w:val="Fuzeile"/>
    <w:uiPriority w:val="99"/>
    <w:rsid w:val="00041126"/>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920464">
      <w:bodyDiv w:val="1"/>
      <w:marLeft w:val="0"/>
      <w:marRight w:val="0"/>
      <w:marTop w:val="0"/>
      <w:marBottom w:val="0"/>
      <w:divBdr>
        <w:top w:val="none" w:sz="0" w:space="0" w:color="auto"/>
        <w:left w:val="none" w:sz="0" w:space="0" w:color="auto"/>
        <w:bottom w:val="none" w:sz="0" w:space="0" w:color="auto"/>
        <w:right w:val="none" w:sz="0" w:space="0" w:color="auto"/>
      </w:divBdr>
    </w:div>
    <w:div w:id="73775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66366095-a18c-4cb3-a1ea-2fdfefee6388" ContentTypeId="0x01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735780-CFBC-4438-AC5D-B47E32D6FC29}">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52642ee-3abd-4143-a94f-bb1c55d63100"/>
    <ds:schemaRef ds:uri="http://www.w3.org/XML/1998/namespace"/>
    <ds:schemaRef ds:uri="http://purl.org/dc/dcmitype/"/>
  </ds:schemaRefs>
</ds:datastoreItem>
</file>

<file path=customXml/itemProps2.xml><?xml version="1.0" encoding="utf-8"?>
<ds:datastoreItem xmlns:ds="http://schemas.openxmlformats.org/officeDocument/2006/customXml" ds:itemID="{EFC27767-A88A-4805-98C3-933792861C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D85900-640F-411F-9908-6427216E8E77}">
  <ds:schemaRefs>
    <ds:schemaRef ds:uri="Microsoft.SharePoint.Taxonomy.ContentTypeSync"/>
  </ds:schemaRefs>
</ds:datastoreItem>
</file>

<file path=customXml/itemProps4.xml><?xml version="1.0" encoding="utf-8"?>
<ds:datastoreItem xmlns:ds="http://schemas.openxmlformats.org/officeDocument/2006/customXml" ds:itemID="{411CDB7E-4065-49E4-BDF0-C008150957F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339</Words>
  <Characters>2142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2477</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JHS Ingenieure - Praktikant</dc:creator>
  <keywords>docId:919A3D5F4B021D438EBB809CBFA35A6F</keywords>
  <dc:description/>
  <lastModifiedBy>Schmalenberg, Andreas</lastModifiedBy>
  <revision>14</revision>
  <dcterms:created xsi:type="dcterms:W3CDTF">2021-12-09T10:01:00.0000000Z</dcterms:created>
  <dcterms:modified xsi:type="dcterms:W3CDTF">2025-06-05T10:18:00.0000000Z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