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3617A4" w14:paraId="696E0B98" w14:textId="0E3795A9">
      <w:pPr>
        <w:rPr>
          <w:rFonts w:cs="Arial"/>
          <w:b/>
          <w:bCs/>
          <w:szCs w:val="20"/>
          <w:lang w:val="de" w:eastAsia="de"/>
        </w:rPr>
      </w:pPr>
      <w:r>
        <w:rPr>
          <w:rFonts w:cs="Arial"/>
          <w:b/>
          <w:bCs/>
          <w:szCs w:val="20"/>
          <w:lang w:val="de" w:eastAsia="de"/>
        </w:rPr>
        <w:t xml:space="preserve">Inversor fotovoltaico, trifásico, </w:t>
      </w:r>
      <w:r w:rsidR="00A70FDC">
        <w:rPr>
          <w:rFonts w:cs="Arial"/>
          <w:b/>
          <w:bCs/>
          <w:szCs w:val="20"/>
          <w:lang w:eastAsia="zh-CN"/>
        </w:rPr>
        <w:t xml:space="preserve">8,5...12,5 kVA</w:t>
      </w:r>
      <w:r>
        <w:rPr>
          <w:rFonts w:cs="Arial"/>
          <w:b/>
          <w:bCs/>
          <w:szCs w:val="20"/>
          <w:lang w:val="de" w:eastAsia="de"/>
        </w:rPr>
        <w:t xml:space="preserve">, rastreador 3-MPP</w:t>
      </w:r>
    </w:p>
    <w:p w:rsidR="003617A4" w:rsidRDefault="003617A4" w14:paraId="696E0B99" w14:textId="77777777">
      <w:pPr>
        <w:rPr>
          <w:rFonts w:cs="Arial"/>
          <w:b/>
          <w:bCs/>
          <w:szCs w:val="20"/>
          <w:lang w:val="de" w:eastAsia="de"/>
        </w:rPr>
      </w:pPr>
    </w:p>
    <w:p w:rsidR="00A70FDC" w:rsidP="00A70FDC" w:rsidRDefault="00A70FDC" w14:paraId="2D15100A" w14:textId="4F119A1F">
      <w:pPr>
        <w:autoSpaceDE w:val="0"/>
        <w:autoSpaceDN w:val="0"/>
        <w:adjustRightInd w:val="0"/>
        <w:jc w:val="both"/>
        <w:rPr>
          <w:rFonts w:eastAsia="Times New Roman" w:cs="Arial"/>
          <w:szCs w:val="20"/>
        </w:rPr>
      </w:pPr>
      <w:r>
        <w:rPr>
          <w:rFonts w:cs="Arial"/>
          <w:szCs w:val="20"/>
        </w:rPr>
        <w:t xml:space="preserve">Inversor trifásico sem transformador </w:t>
      </w:r>
      <w:r>
        <w:rPr>
          <w:rFonts w:eastAsia="Times New Roman" w:cs="Arial"/>
          <w:szCs w:val="20"/>
        </w:rPr>
        <w:t xml:space="preserve">para sistemas fotovoltaicos com 3 seguidores MPP </w:t>
      </w:r>
      <w:r w:rsidRPr="00A70FDC">
        <w:rPr>
          <w:rFonts w:eastAsia="Times New Roman" w:cs="Arial"/>
          <w:szCs w:val="20"/>
        </w:rPr>
        <w:t xml:space="preserve">(</w:t>
      </w:r>
      <w:r w:rsidRPr="00721FFE" w:rsidR="00721FFE">
        <w:rPr>
          <w:rFonts w:eastAsia="Times New Roman" w:cs="Arial"/>
          <w:szCs w:val="20"/>
        </w:rPr>
        <w:t xml:space="preserve">17A/17A/30A corrente MPPT máx.)</w:t>
      </w:r>
      <w:r>
        <w:rPr>
          <w:rFonts w:eastAsia="Times New Roman" w:cs="Arial"/>
          <w:szCs w:val="20"/>
        </w:rPr>
        <w:t xml:space="preserve">, </w:t>
      </w:r>
      <w:r>
        <w:rPr>
          <w:rFonts w:cs="Arial"/>
          <w:szCs w:val="20"/>
        </w:rPr>
        <w:t xml:space="preserve">pode ser utilizado universalmente como inversor solar, híbrido ou de bateria</w:t>
      </w:r>
      <w:r>
        <w:rPr>
          <w:rFonts w:eastAsia="Times New Roman" w:cs="Arial"/>
          <w:szCs w:val="20"/>
        </w:rPr>
        <w:t xml:space="preserve">, extensão de potência opcional </w:t>
      </w:r>
      <w:r>
        <w:rPr>
          <w:rFonts w:cs="Arial"/>
          <w:szCs w:val="20"/>
        </w:rPr>
        <w:t xml:space="preserve">com código de ativação</w:t>
      </w:r>
      <w:r>
        <w:rPr>
          <w:rFonts w:eastAsia="Times New Roman" w:cs="Arial"/>
          <w:szCs w:val="20"/>
        </w:rPr>
        <w:t xml:space="preserve">, </w:t>
      </w:r>
      <w:r>
        <w:rPr>
          <w:rFonts w:cs="Arial"/>
          <w:szCs w:val="20"/>
        </w:rPr>
        <w:t xml:space="preserve">ativação opcional do 3º </w:t>
      </w:r>
      <w:r>
        <w:rPr>
          <w:rFonts w:eastAsia="Times New Roman" w:cs="Arial"/>
          <w:szCs w:val="20"/>
        </w:rPr>
        <w:t xml:space="preserve">seguidor MPP como entrada de bateria para ligação de um sistema de armazenamento HV compatível</w:t>
      </w:r>
      <w:r>
        <w:rPr>
          <w:rFonts w:eastAsia="Times New Roman" w:cs="Arial"/>
          <w:szCs w:val="20"/>
        </w:rPr>
        <w:t xml:space="preserve">, preparado para carregamento adicional da bateria através de fontes de energia AC existentes</w:t>
      </w:r>
      <w:r>
        <w:rPr>
          <w:rFonts w:eastAsia="Times New Roman" w:cs="Arial"/>
          <w:szCs w:val="20"/>
        </w:rPr>
        <w:t xml:space="preserve">, </w:t>
      </w:r>
      <w:r>
        <w:rPr>
          <w:rFonts w:eastAsia="Times New Roman" w:cs="Arial"/>
          <w:szCs w:val="20"/>
        </w:rPr>
        <w:t xml:space="preserve">operação de energia </w:t>
      </w:r>
      <w:r>
        <w:rPr>
          <w:rFonts w:eastAsia="Times New Roman" w:cs="Arial"/>
          <w:szCs w:val="20"/>
        </w:rPr>
        <w:t xml:space="preserve">de reserva </w:t>
      </w:r>
      <w:r>
        <w:rPr>
          <w:rFonts w:cs="Arial"/>
          <w:szCs w:val="20"/>
        </w:rPr>
        <w:t xml:space="preserve">com comutador manual (</w:t>
      </w:r>
      <w:r>
        <w:rPr>
          <w:rFonts w:eastAsia="Times New Roman" w:cs="Arial"/>
          <w:szCs w:val="20"/>
        </w:rPr>
        <w:t xml:space="preserve">seguidor </w:t>
      </w:r>
      <w:r>
        <w:rPr>
          <w:rFonts w:cs="Arial"/>
          <w:szCs w:val="20"/>
        </w:rPr>
        <w:t xml:space="preserve">KOSTER </w:t>
      </w:r>
      <w:r w:rsidRPr="00721FFE" w:rsidR="00721FFE">
        <w:rPr>
          <w:rFonts w:eastAsia="Times New Roman" w:cs="Arial"/>
          <w:szCs w:val="20"/>
        </w:rPr>
        <w:t xml:space="preserve">MPP</w:t>
      </w:r>
      <w:r>
        <w:rPr>
          <w:rFonts w:eastAsia="Times New Roman" w:cs="Arial"/>
          <w:szCs w:val="20"/>
        </w:rPr>
        <w:t xml:space="preserve">)</w:t>
      </w:r>
      <w:r w:rsidRPr="00721FFE" w:rsidR="00721FFE">
        <w:rPr>
          <w:rFonts w:eastAsia="Times New Roman" w:cs="Arial"/>
          <w:szCs w:val="20"/>
        </w:rPr>
        <w:t xml:space="preserve">. </w:t>
      </w:r>
      <w:r>
        <w:rPr>
          <w:rFonts w:cs="Arial"/>
          <w:szCs w:val="20"/>
        </w:rPr>
        <w:t xml:space="preserve">MPP tracker como entrada de bateria para ligação de um sistema de armazenamento HV compatível, preparado para carregamento adicional de bateria através de fontes de energia AC existentes, operação de energia de reserva com comutador manual (KOSTAL BackUp Switch) ou dispositivo de comutação automática possível, </w:t>
      </w:r>
      <w:r>
        <w:rPr>
          <w:rFonts w:eastAsia="Times New Roman" w:cs="Arial"/>
          <w:szCs w:val="20"/>
        </w:rPr>
        <w:t xml:space="preserve">módulo de proteção contra sobretensão DC tipo 2 pode ser integrado como opção, com registador de dados, adequado para instalação interior e exterior, tensão de entrada máx. 1000 V</w:t>
      </w:r>
      <w:r>
        <w:rPr>
          <w:rFonts w:eastAsia="Times New Roman" w:cs="Arial"/>
          <w:szCs w:val="20"/>
        </w:rPr>
        <w:t xml:space="preserve">, ligação à rede 1000 V</w:t>
      </w:r>
      <w:r>
        <w:rPr>
          <w:rFonts w:eastAsia="Times New Roman" w:cs="Arial"/>
          <w:szCs w:val="20"/>
        </w:rPr>
        <w:t xml:space="preserve">, ligação à rede 1000 V máx</w:t>
      </w:r>
      <w:r>
        <w:rPr>
          <w:rFonts w:eastAsia="Times New Roman" w:cs="Arial"/>
          <w:szCs w:val="20"/>
        </w:rPr>
        <w:t xml:space="preserve">. </w:t>
      </w:r>
      <w:r>
        <w:rPr>
          <w:rFonts w:eastAsia="Times New Roman" w:cs="Arial"/>
          <w:szCs w:val="20"/>
        </w:rPr>
        <w:t xml:space="preserve">Tensão de entrada 1000 V, ligação à rede trifásica 400 V/230 V, fator de potência 0,8 sobre-excitado a 0,8 subexcitado, </w:t>
      </w:r>
      <w:r>
        <w:rPr>
          <w:rFonts w:eastAsia="Times New Roman" w:cs="Arial"/>
          <w:szCs w:val="20"/>
        </w:rPr>
        <w:t xml:space="preserve">eficiência </w:t>
      </w:r>
      <w:r w:rsidR="003B554C">
        <w:rPr>
          <w:rFonts w:eastAsia="Times New Roman" w:cs="Arial"/>
          <w:szCs w:val="20"/>
        </w:rPr>
        <w:t xml:space="preserve">máxima </w:t>
      </w:r>
      <w:r w:rsidR="00FF2B82">
        <w:rPr>
          <w:rFonts w:eastAsia="Times New Roman" w:cs="Arial"/>
          <w:szCs w:val="20"/>
        </w:rPr>
        <w:t xml:space="preserve">mín. </w:t>
      </w:r>
      <w:r>
        <w:rPr>
          <w:rFonts w:eastAsia="Times New Roman" w:cs="Arial"/>
          <w:szCs w:val="20"/>
        </w:rPr>
        <w:t xml:space="preserve">98</w:t>
      </w:r>
      <w:r w:rsidR="00041126">
        <w:rPr>
          <w:rFonts w:eastAsia="Times New Roman" w:cs="Arial"/>
          <w:szCs w:val="20"/>
        </w:rPr>
        <w:t xml:space="preserve">,14 </w:t>
      </w:r>
      <w:r>
        <w:rPr>
          <w:rFonts w:eastAsia="Times New Roman" w:cs="Arial"/>
          <w:szCs w:val="20"/>
        </w:rPr>
        <w:t xml:space="preserve">%, eficiência Euro </w:t>
      </w:r>
      <w:r w:rsidR="00FF2B82">
        <w:rPr>
          <w:rFonts w:eastAsia="Times New Roman" w:cs="Arial"/>
          <w:szCs w:val="20"/>
        </w:rPr>
        <w:t xml:space="preserve">mín. </w:t>
      </w:r>
      <w:r>
        <w:rPr>
          <w:rFonts w:eastAsia="Times New Roman" w:cs="Arial"/>
          <w:szCs w:val="20"/>
        </w:rPr>
        <w:t xml:space="preserve">97</w:t>
      </w:r>
      <w:r w:rsidR="00041126">
        <w:rPr>
          <w:rFonts w:eastAsia="Times New Roman" w:cs="Arial"/>
          <w:szCs w:val="20"/>
        </w:rPr>
        <w:t xml:space="preserve">,49 </w:t>
      </w:r>
      <w:r>
        <w:rPr>
          <w:rFonts w:eastAsia="Times New Roman" w:cs="Arial"/>
          <w:szCs w:val="20"/>
        </w:rPr>
        <w:t xml:space="preserve">%, classe de proteção (segundo IEC 62103) I, com ponto de desconexão automático segundo VDE 0126-1-1, grau de proteção segundo ICE 60529 IP 65, temperatura ambiente -20 a +60 °C, topologia sem transformador, ligação DC 4...6 mm² com conectores Sunclix, ligação AC </w:t>
      </w:r>
      <w:r w:rsidR="00821EC4">
        <w:rPr>
          <w:rFonts w:eastAsia="Times New Roman" w:cs="Arial"/>
          <w:szCs w:val="20"/>
        </w:rPr>
        <w:t xml:space="preserve">2,5</w:t>
      </w:r>
      <w:r>
        <w:rPr>
          <w:rFonts w:eastAsia="Times New Roman" w:cs="Arial"/>
          <w:szCs w:val="20"/>
        </w:rPr>
        <w:t xml:space="preserve">...</w:t>
      </w:r>
      <w:r w:rsidR="00821EC4">
        <w:rPr>
          <w:rFonts w:eastAsia="Times New Roman" w:cs="Arial"/>
          <w:szCs w:val="20"/>
        </w:rPr>
        <w:t xml:space="preserve">6 </w:t>
      </w:r>
      <w:r>
        <w:rPr>
          <w:rFonts w:eastAsia="Times New Roman" w:cs="Arial"/>
          <w:szCs w:val="20"/>
        </w:rPr>
        <w:t xml:space="preserve">mm², interfaces 2x LAN, WIFI, RS 485 para comunicação com Smart Meter, USB, entrada de sinal para avaliação de uma proteção externa contra sobretensão, 4 saídas de relé sem potencial (24V, 100mA) para controlo de carga (compatível com SG-Ready) e interface de dados para inversores em cascata, display, indicadores de mensagens LED, visualização através de servidor Web integrado, display ou aplicação para smartphone possível, com gestão de sombras de auto-aprendizagem, com Solar Portal para monitorização do sistema fotovoltaico incl. </w:t>
      </w:r>
      <w:r>
        <w:rPr>
          <w:rFonts w:eastAsia="Times New Roman" w:cs="Arial"/>
          <w:szCs w:val="20"/>
        </w:rPr>
        <w:t xml:space="preserve">notificação de erros </w:t>
      </w:r>
      <w:r>
        <w:rPr>
          <w:rFonts w:eastAsia="Times New Roman" w:cs="Arial"/>
          <w:szCs w:val="20"/>
        </w:rPr>
        <w:t xml:space="preserve">em caso </w:t>
      </w:r>
      <w:r>
        <w:rPr>
          <w:rFonts w:eastAsia="Times New Roman" w:cs="Arial"/>
          <w:szCs w:val="20"/>
        </w:rPr>
        <w:t xml:space="preserve">de </w:t>
      </w:r>
      <w:r>
        <w:rPr>
          <w:rFonts w:eastAsia="Times New Roman" w:cs="Arial"/>
          <w:szCs w:val="20"/>
        </w:rPr>
        <w:t xml:space="preserve">avaria</w:t>
      </w:r>
      <w:r>
        <w:rPr>
          <w:rFonts w:eastAsia="Times New Roman" w:cs="Arial"/>
          <w:szCs w:val="20"/>
        </w:rPr>
        <w:t xml:space="preserve">. </w:t>
      </w:r>
      <w:r>
        <w:rPr>
          <w:rFonts w:eastAsia="Times New Roman" w:cs="Arial"/>
          <w:szCs w:val="20"/>
        </w:rPr>
        <w:t xml:space="preserve">notificação de erros por e-mail em caso de avaria, integração em casa inteligente via Modbus / Sunspec (TCP), com ligação para Energy Meter para controlo dinâmico da potência ativa e medição do autoconsumo 24 horas por dia, com entrada integrada para ligação direta de um recetor de controlo de ondulação </w:t>
      </w:r>
      <w:r w:rsidR="005B13C5">
        <w:rPr>
          <w:rFonts w:eastAsia="Times New Roman" w:cs="Arial"/>
          <w:szCs w:val="20"/>
        </w:rPr>
        <w:t xml:space="preserve">ou </w:t>
      </w:r>
      <w:r>
        <w:rPr>
          <w:rFonts w:eastAsia="Times New Roman" w:cs="Arial"/>
          <w:szCs w:val="20"/>
        </w:rPr>
        <w:t xml:space="preserve">de </w:t>
      </w:r>
      <w:r w:rsidR="005B13C5">
        <w:rPr>
          <w:rFonts w:eastAsia="Times New Roman" w:cs="Arial"/>
          <w:szCs w:val="20"/>
        </w:rPr>
        <w:t xml:space="preserve">uma caixa de controlo FNN, compatível com EEBus</w:t>
      </w:r>
      <w:bookmarkStart w:name="_GoBack" w:id="0"/>
      <w:bookmarkEnd w:id="0"/>
      <w:r>
        <w:rPr>
          <w:rFonts w:eastAsia="Times New Roman" w:cs="Arial"/>
          <w:szCs w:val="20"/>
        </w:rPr>
        <w:t xml:space="preserve"> , atualização de software "AutoUpdate" através da Internet, certificação de acordo com VDE 0100-712 e VDE-AR-N 4105.</w:t>
      </w:r>
    </w:p>
    <w:p w:rsidRPr="00A70FDC" w:rsidR="0079728C" w:rsidP="003617A4" w:rsidRDefault="0079728C" w14:paraId="696E0B9B" w14:textId="77777777">
      <w:pPr>
        <w:tabs>
          <w:tab w:val="left" w:pos="5954"/>
        </w:tabs>
        <w:autoSpaceDE w:val="0"/>
        <w:autoSpaceDN w:val="0"/>
        <w:adjustRightInd w:val="0"/>
        <w:rPr>
          <w:rFonts w:eastAsia="Times New Roman" w:cs="Arial"/>
          <w:szCs w:val="20"/>
          <w:lang w:eastAsia="de"/>
        </w:rPr>
      </w:pPr>
    </w:p>
    <w:p w:rsidR="00A70FDC" w:rsidP="00A70FDC" w:rsidRDefault="00A70FDC" w14:paraId="141407D3" w14:textId="315E9359">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Potência de base: 8,5 kW</w:t>
      </w:r>
    </w:p>
    <w:p w:rsidR="00A70FDC" w:rsidP="00A70FDC" w:rsidRDefault="00A70FDC" w14:paraId="5F7CECA3" w14:textId="3DBBDC7D">
      <w:pPr>
        <w:tabs>
          <w:tab w:val="left" w:pos="5954"/>
        </w:tabs>
        <w:autoSpaceDE w:val="0"/>
        <w:autoSpaceDN w:val="0"/>
        <w:adjustRightInd w:val="0"/>
        <w:rPr>
          <w:rFonts w:eastAsia="Times New Roman" w:cs="Arial"/>
          <w:szCs w:val="20"/>
        </w:rPr>
      </w:pPr>
      <w:r>
        <w:rPr>
          <w:rFonts w:eastAsia="Times New Roman" w:cs="Arial"/>
          <w:szCs w:val="20"/>
          <w:lang w:eastAsia="de-DE"/>
        </w:rPr>
        <w:t xml:space="preserve">Máx. Potência de saída (cos φ = 1)</w:t>
      </w:r>
      <w:r>
        <w:rPr>
          <w:rFonts w:eastAsia="Times New Roman" w:cs="Arial"/>
          <w:szCs w:val="20"/>
        </w:rPr>
        <w:t xml:space="preserve">: 12,5 kVA</w:t>
      </w:r>
    </w:p>
    <w:p w:rsidR="00A70FDC" w:rsidP="00A70FDC" w:rsidRDefault="00A70FDC" w14:paraId="568F11E3" w14:textId="1A109C03">
      <w:pPr>
        <w:tabs>
          <w:tab w:val="left" w:pos="5954"/>
        </w:tabs>
        <w:autoSpaceDE w:val="0"/>
        <w:autoSpaceDN w:val="0"/>
        <w:adjustRightInd w:val="0"/>
        <w:rPr>
          <w:rFonts w:eastAsia="Times New Roman" w:cs="Arial"/>
          <w:szCs w:val="20"/>
        </w:rPr>
      </w:pPr>
      <w:r>
        <w:rPr>
          <w:rFonts w:eastAsia="Times New Roman" w:cs="Arial"/>
          <w:szCs w:val="20"/>
        </w:rPr>
        <w:t xml:space="preserve">Máx. Produção fotovoltaica: 18,75 kWp</w:t>
      </w:r>
    </w:p>
    <w:p w:rsidR="00A70FDC" w:rsidP="00A70FDC" w:rsidRDefault="00A70FDC" w14:paraId="49AE2827" w14:textId="7F957596">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Extensão de potência opcional nível 1: 10 kW</w:t>
      </w:r>
    </w:p>
    <w:p w:rsidR="00A70FDC" w:rsidP="00A70FDC" w:rsidRDefault="00A70FDC" w14:paraId="39472F38" w14:textId="3EC90185">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Extensão de potência opcional nível 2: 12,5 kW</w:t>
      </w:r>
    </w:p>
    <w:p w:rsidR="00A70FDC" w:rsidP="00A70FDC" w:rsidRDefault="00A70FDC" w14:paraId="7AEB4305" w14:textId="77777777">
      <w:pPr>
        <w:tabs>
          <w:tab w:val="left" w:pos="5954"/>
        </w:tabs>
        <w:autoSpaceDE w:val="0"/>
        <w:autoSpaceDN w:val="0"/>
        <w:adjustRightInd w:val="0"/>
        <w:rPr>
          <w:rFonts w:eastAsia="Times New Roman" w:cs="Arial"/>
          <w:szCs w:val="20"/>
        </w:rPr>
      </w:pPr>
      <w:r>
        <w:rPr>
          <w:rFonts w:eastAsia="Times New Roman" w:cs="Arial"/>
          <w:szCs w:val="20"/>
        </w:rPr>
        <w:t xml:space="preserve">Gama de tensões de funcionamento do MPP: 75 - 900 V</w:t>
      </w:r>
    </w:p>
    <w:p w:rsidRPr="00A70FDC" w:rsidR="003617A4" w:rsidP="003617A4" w:rsidRDefault="003617A4" w14:paraId="696E0B9F" w14:textId="77777777">
      <w:pPr>
        <w:autoSpaceDE w:val="0"/>
        <w:autoSpaceDN w:val="0"/>
        <w:adjustRightInd w:val="0"/>
        <w:rPr>
          <w:rFonts w:eastAsia="Times New Roman" w:cs="Arial"/>
          <w:szCs w:val="20"/>
          <w:lang w:eastAsia="de"/>
        </w:rPr>
      </w:pPr>
    </w:p>
    <w:p w:rsidRPr="003617A4" w:rsidR="003617A4" w:rsidP="003617A4" w:rsidRDefault="003617A4" w14:paraId="696E0BA0"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Fabricante/Tipo</w:t>
      </w:r>
    </w:p>
    <w:p w:rsidRPr="003617A4" w:rsidR="003617A4" w:rsidP="003617A4" w:rsidRDefault="003617A4" w14:paraId="696E0BA1" w14:textId="1BAE96BC">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Kostal / PLENTICORE </w:t>
      </w:r>
      <w:r w:rsidR="00A70FDC">
        <w:rPr>
          <w:rFonts w:eastAsia="Times New Roman" w:cs="Arial"/>
          <w:szCs w:val="20"/>
          <w:lang w:val="de" w:eastAsia="de"/>
        </w:rPr>
        <w:t xml:space="preserve">M G3</w:t>
      </w:r>
      <w:r w:rsidRPr="003617A4">
        <w:rPr>
          <w:rFonts w:eastAsia="Times New Roman" w:cs="Arial"/>
          <w:szCs w:val="20"/>
          <w:lang w:val="de" w:eastAsia="de"/>
        </w:rPr>
        <w:br/>
      </w:r>
      <w:r w:rsidRPr="003617A4">
        <w:rPr>
          <w:rFonts w:eastAsia="Times New Roman" w:cs="Arial"/>
          <w:szCs w:val="20"/>
          <w:lang w:val="de" w:eastAsia="de"/>
        </w:rPr>
        <w:t xml:space="preserve">ou equivalente</w:t>
      </w:r>
    </w:p>
    <w:p w:rsidRPr="003617A4" w:rsidR="003617A4" w:rsidP="003617A4" w:rsidRDefault="003617A4" w14:paraId="696E0BA2"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Fabricante/Tipo</w:t>
      </w:r>
    </w:p>
    <w:p w:rsidR="003617A4" w:rsidP="003617A4" w:rsidRDefault="003617A4" w14:paraId="696E0BA3" w14:textId="77777777">
      <w:r w:rsidRPr="003617A4">
        <w:rPr>
          <w:rFonts w:eastAsia="Times New Roman" w:cs="Arial"/>
          <w:szCs w:val="20"/>
          <w:lang w:val="de" w:eastAsia="de"/>
        </w:rPr>
        <w:t xml:space="preserve">'....................................................'</w:t>
      </w:r>
      <w:r w:rsidRPr="003617A4">
        <w:rPr>
          <w:rFonts w:eastAsia="Times New Roman" w:cs="Arial"/>
          <w:szCs w:val="20"/>
          <w:lang w:val="de" w:eastAsia="de"/>
        </w:rPr>
        <w:br/>
      </w:r>
      <w:r w:rsidRPr="003617A4">
        <w:rPr>
          <w:rFonts w:eastAsia="Times New Roman" w:cs="Arial"/>
          <w:szCs w:val="20"/>
          <w:lang w:val="de" w:eastAsia="de"/>
        </w:rPr>
        <w:t xml:space="preserve">a introduzir pelo proponente.</w:t>
      </w:r>
    </w:p>
    <w:sectPr w:rsidR="003617A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126" w:rsidP="00041126" w:rsidRDefault="00041126" w14:paraId="39DB5513" w14:textId="77777777">
      <w:r>
        <w:separator/>
      </w:r>
    </w:p>
  </w:endnote>
  <w:endnote w:type="continuationSeparator" w:id="0">
    <w:p w:rsidR="00041126" w:rsidP="00041126" w:rsidRDefault="00041126" w14:paraId="2B2259A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126" w:rsidP="00041126" w:rsidRDefault="00041126" w14:paraId="10B2302E" w14:textId="77777777">
      <w:r>
        <w:separator/>
      </w:r>
    </w:p>
  </w:footnote>
  <w:footnote w:type="continuationSeparator" w:id="0">
    <w:p w:rsidR="00041126" w:rsidP="00041126" w:rsidRDefault="00041126" w14:paraId="384EA510"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75"/>
    <w:rsid w:val="00041126"/>
    <w:rsid w:val="00071466"/>
    <w:rsid w:val="00111F51"/>
    <w:rsid w:val="00294ED9"/>
    <w:rsid w:val="003617A4"/>
    <w:rsid w:val="003B554C"/>
    <w:rsid w:val="00515C82"/>
    <w:rsid w:val="005B13C5"/>
    <w:rsid w:val="0070354D"/>
    <w:rsid w:val="00721FFE"/>
    <w:rsid w:val="0079728C"/>
    <w:rsid w:val="00821EC4"/>
    <w:rsid w:val="00A70FDC"/>
    <w:rsid w:val="00D21AEF"/>
    <w:rsid w:val="00E73F75"/>
    <w:rsid w:val="00FF2B8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6E0B98"/>
  <w15:chartTrackingRefBased/>
  <w15:docId w15:val="{CF1CD97D-4908-4F68-BCE3-D926BB2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3617A4"/>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041126"/>
    <w:pPr>
      <w:tabs>
        <w:tab w:val="center" w:pos="4536"/>
        <w:tab w:val="right" w:pos="9072"/>
      </w:tabs>
    </w:pPr>
  </w:style>
  <w:style w:type="character" w:customStyle="1" w:styleId="KopfzeileZchn">
    <w:name w:val="Kopfzeile Zchn"/>
    <w:basedOn w:val="Absatz-Standardschriftart"/>
    <w:link w:val="Kopfzeile"/>
    <w:uiPriority w:val="99"/>
    <w:rsid w:val="00041126"/>
    <w:rPr>
      <w:rFonts w:ascii="Arial" w:hAnsi="Arial"/>
      <w:sz w:val="20"/>
    </w:rPr>
  </w:style>
  <w:style w:type="paragraph" w:styleId="Fuzeile">
    <w:name w:val="footer"/>
    <w:basedOn w:val="Standard"/>
    <w:link w:val="FuzeileZchn"/>
    <w:uiPriority w:val="99"/>
    <w:unhideWhenUsed/>
    <w:rsid w:val="00041126"/>
    <w:pPr>
      <w:tabs>
        <w:tab w:val="center" w:pos="4536"/>
        <w:tab w:val="right" w:pos="9072"/>
      </w:tabs>
    </w:pPr>
  </w:style>
  <w:style w:type="character" w:customStyle="1" w:styleId="FuzeileZchn">
    <w:name w:val="Fußzeile Zchn"/>
    <w:basedOn w:val="Absatz-Standardschriftart"/>
    <w:link w:val="Fuzeile"/>
    <w:uiPriority w:val="99"/>
    <w:rsid w:val="0004112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20464">
      <w:bodyDiv w:val="1"/>
      <w:marLeft w:val="0"/>
      <w:marRight w:val="0"/>
      <w:marTop w:val="0"/>
      <w:marBottom w:val="0"/>
      <w:divBdr>
        <w:top w:val="none" w:sz="0" w:space="0" w:color="auto"/>
        <w:left w:val="none" w:sz="0" w:space="0" w:color="auto"/>
        <w:bottom w:val="none" w:sz="0" w:space="0" w:color="auto"/>
        <w:right w:val="none" w:sz="0" w:space="0" w:color="auto"/>
      </w:divBdr>
    </w:div>
    <w:div w:id="73775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6366095-a18c-4cb3-a1ea-2fdfefee638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735780-CFBC-4438-AC5D-B47E32D6FC29}">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52642ee-3abd-4143-a94f-bb1c55d63100"/>
    <ds:schemaRef ds:uri="http://www.w3.org/XML/1998/namespace"/>
    <ds:schemaRef ds:uri="http://purl.org/dc/dcmitype/"/>
  </ds:schemaRefs>
</ds:datastoreItem>
</file>

<file path=customXml/itemProps2.xml><?xml version="1.0" encoding="utf-8"?>
<ds:datastoreItem xmlns:ds="http://schemas.openxmlformats.org/officeDocument/2006/customXml" ds:itemID="{EFC27767-A88A-4805-98C3-93379286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85900-640F-411F-9908-6427216E8E77}">
  <ds:schemaRefs>
    <ds:schemaRef ds:uri="Microsoft.SharePoint.Taxonomy.ContentTypeSync"/>
  </ds:schemaRefs>
</ds:datastoreItem>
</file>

<file path=customXml/itemProps4.xml><?xml version="1.0" encoding="utf-8"?>
<ds:datastoreItem xmlns:ds="http://schemas.openxmlformats.org/officeDocument/2006/customXml" ds:itemID="{411CDB7E-4065-49E4-BDF0-C008150957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2142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docId:9A58F174D77A0E07E8A3FAA1804F806C</keywords>
  <dc:description/>
  <lastModifiedBy>Schmalenberg, Andreas</lastModifiedBy>
  <revision>14</revision>
  <dcterms:created xsi:type="dcterms:W3CDTF">2021-12-09T10:01:00.0000000Z</dcterms:created>
  <dcterms:modified xsi:type="dcterms:W3CDTF">2025-06-05T10:18:00.0000000Z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