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3617A4" w14:paraId="696E0B98" w14:textId="0E3795A9">
      <w:pPr>
        <w:rPr>
          <w:rFonts w:cs="Arial"/>
          <w:b/>
          <w:bCs/>
          <w:szCs w:val="20"/>
          <w:lang w:val="de" w:eastAsia="de"/>
        </w:rPr>
      </w:pPr>
      <w:r>
        <w:rPr>
          <w:rFonts w:cs="Arial"/>
          <w:b/>
          <w:bCs/>
          <w:szCs w:val="20"/>
          <w:lang w:val="de" w:eastAsia="de"/>
        </w:rPr>
        <w:t xml:space="preserve">Inverter fotovoltaico, trifase, </w:t>
      </w:r>
      <w:r w:rsidR="00A70FDC">
        <w:rPr>
          <w:rFonts w:cs="Arial"/>
          <w:b/>
          <w:bCs/>
          <w:szCs w:val="20"/>
          <w:lang w:eastAsia="zh-CN"/>
        </w:rPr>
        <w:t xml:space="preserve">8,5...12,5 kVA</w:t>
      </w:r>
      <w:r>
        <w:rPr>
          <w:rFonts w:cs="Arial"/>
          <w:b/>
          <w:bCs/>
          <w:szCs w:val="20"/>
          <w:lang w:val="de" w:eastAsia="de"/>
        </w:rPr>
        <w:t xml:space="preserve">, inseguitore 3MPP</w:t>
      </w:r>
    </w:p>
    <w:p w:rsidR="003617A4" w:rsidRDefault="003617A4" w14:paraId="696E0B99" w14:textId="77777777">
      <w:pPr>
        <w:rPr>
          <w:rFonts w:cs="Arial"/>
          <w:b/>
          <w:bCs/>
          <w:szCs w:val="20"/>
          <w:lang w:val="de" w:eastAsia="de"/>
        </w:rPr>
      </w:pPr>
    </w:p>
    <w:p w:rsidR="00A70FDC" w:rsidP="00A70FDC" w:rsidRDefault="00A70FDC" w14:paraId="2D15100A" w14:textId="4F119A1F">
      <w:pPr>
        <w:autoSpaceDE w:val="0"/>
        <w:autoSpaceDN w:val="0"/>
        <w:adjustRightInd w:val="0"/>
        <w:jc w:val="both"/>
        <w:rPr>
          <w:rFonts w:eastAsia="Times New Roman" w:cs="Arial"/>
          <w:szCs w:val="20"/>
        </w:rPr>
      </w:pPr>
      <w:r>
        <w:rPr>
          <w:rFonts w:cs="Arial"/>
          <w:szCs w:val="20"/>
        </w:rPr>
        <w:t xml:space="preserve">Inverter trifase senza trasformatore </w:t>
      </w:r>
      <w:r>
        <w:rPr>
          <w:rFonts w:eastAsia="Times New Roman" w:cs="Arial"/>
          <w:szCs w:val="20"/>
        </w:rPr>
        <w:t xml:space="preserve">per impianti fotovoltaici con 3 inseguitori MPP </w:t>
      </w:r>
      <w:r w:rsidRPr="00A70FDC">
        <w:rPr>
          <w:rFonts w:eastAsia="Times New Roman" w:cs="Arial"/>
          <w:szCs w:val="20"/>
        </w:rPr>
        <w:t xml:space="preserve">(</w:t>
      </w:r>
      <w:r w:rsidRPr="00721FFE" w:rsidR="00721FFE">
        <w:rPr>
          <w:rFonts w:eastAsia="Times New Roman" w:cs="Arial"/>
          <w:szCs w:val="20"/>
        </w:rPr>
        <w:t xml:space="preserve">17A/17A/30A max. corrente MPPT)</w:t>
      </w:r>
      <w:r>
        <w:rPr>
          <w:rFonts w:eastAsia="Times New Roman" w:cs="Arial"/>
          <w:szCs w:val="20"/>
        </w:rPr>
        <w:t xml:space="preserve">, </w:t>
      </w:r>
      <w:r>
        <w:rPr>
          <w:rFonts w:cs="Arial"/>
          <w:szCs w:val="20"/>
        </w:rPr>
        <w:t xml:space="preserve">utilizzabile universalmente come inverter solare, ibrido o a batteria</w:t>
      </w:r>
      <w:r>
        <w:rPr>
          <w:rFonts w:eastAsia="Times New Roman" w:cs="Arial"/>
          <w:szCs w:val="20"/>
        </w:rPr>
        <w:t xml:space="preserve">, estensione di potenza opzionale </w:t>
      </w:r>
      <w:r>
        <w:rPr>
          <w:rFonts w:cs="Arial"/>
          <w:szCs w:val="20"/>
        </w:rPr>
        <w:t xml:space="preserve">con codice di attivazione</w:t>
      </w:r>
      <w:r>
        <w:rPr>
          <w:rFonts w:eastAsia="Times New Roman" w:cs="Arial"/>
          <w:szCs w:val="20"/>
        </w:rPr>
        <w:t xml:space="preserve">, </w:t>
      </w:r>
      <w:r>
        <w:rPr>
          <w:rFonts w:cs="Arial"/>
          <w:szCs w:val="20"/>
        </w:rPr>
        <w:t xml:space="preserve">attivazione opzionale del 3° </w:t>
      </w:r>
      <w:r>
        <w:rPr>
          <w:rFonts w:eastAsia="Times New Roman" w:cs="Arial"/>
          <w:szCs w:val="20"/>
        </w:rPr>
        <w:t xml:space="preserve">inseguitore MPP come ingresso batteria per il collegamento di un sistema di accumulo HV compatibile</w:t>
      </w:r>
      <w:r>
        <w:rPr>
          <w:rFonts w:eastAsia="Times New Roman" w:cs="Arial"/>
          <w:szCs w:val="20"/>
        </w:rPr>
        <w:t xml:space="preserve">, predisposto per la ricarica aggiuntiva della batteria tramite fonti di energia CA esistenti</w:t>
      </w:r>
      <w:r>
        <w:rPr>
          <w:rFonts w:eastAsia="Times New Roman" w:cs="Arial"/>
          <w:szCs w:val="20"/>
        </w:rPr>
        <w:t xml:space="preserve">, </w:t>
      </w:r>
      <w:r>
        <w:rPr>
          <w:rFonts w:eastAsia="Times New Roman" w:cs="Arial"/>
          <w:szCs w:val="20"/>
        </w:rPr>
        <w:t xml:space="preserve">funzionamento dell'alimentazione </w:t>
      </w:r>
      <w:r>
        <w:rPr>
          <w:rFonts w:eastAsia="Times New Roman" w:cs="Arial"/>
          <w:szCs w:val="20"/>
        </w:rPr>
        <w:t xml:space="preserve">di backup </w:t>
      </w:r>
      <w:r>
        <w:rPr>
          <w:rFonts w:cs="Arial"/>
          <w:szCs w:val="20"/>
        </w:rPr>
        <w:t xml:space="preserve">con interruttore di commutazione manuale (</w:t>
      </w:r>
      <w:r>
        <w:rPr>
          <w:rFonts w:eastAsia="Times New Roman" w:cs="Arial"/>
          <w:szCs w:val="20"/>
        </w:rPr>
        <w:t xml:space="preserve">inseguitore </w:t>
      </w:r>
      <w:r w:rsidRPr="00721FFE" w:rsidR="00721FFE">
        <w:rPr>
          <w:rFonts w:eastAsia="Times New Roman" w:cs="Arial"/>
          <w:szCs w:val="20"/>
        </w:rPr>
        <w:t xml:space="preserve">MPP </w:t>
      </w:r>
      <w:r>
        <w:rPr>
          <w:rFonts w:cs="Arial"/>
          <w:szCs w:val="20"/>
        </w:rPr>
        <w:t xml:space="preserve">KOSTER</w:t>
      </w:r>
      <w:r>
        <w:rPr>
          <w:rFonts w:eastAsia="Times New Roman" w:cs="Arial"/>
          <w:szCs w:val="20"/>
        </w:rPr>
        <w:t xml:space="preserve">)</w:t>
      </w:r>
      <w:r w:rsidRPr="00721FFE" w:rsidR="00721FFE">
        <w:rPr>
          <w:rFonts w:eastAsia="Times New Roman" w:cs="Arial"/>
          <w:szCs w:val="20"/>
        </w:rPr>
        <w:t xml:space="preserve">. </w:t>
      </w:r>
      <w:r>
        <w:rPr>
          <w:rFonts w:cs="Arial"/>
          <w:szCs w:val="20"/>
        </w:rPr>
        <w:t xml:space="preserve">Inseguitore MPP come ingresso batteria per il collegamento di un sistema di accumulo HV compatibile, predisposto per la carica aggiuntiva della batteria tramite le fonti di energia CA esistenti, funzionamento dell'alimentazione di backup con commutatore manuale (KOSTAL BackUp Switch) o dispositivo di commutazione automatica possibile, </w:t>
      </w:r>
      <w:r>
        <w:rPr>
          <w:rFonts w:eastAsia="Times New Roman" w:cs="Arial"/>
          <w:szCs w:val="20"/>
        </w:rPr>
        <w:t xml:space="preserve">modulo di protezione da sovratensione CC di tipo 2 integrabile come opzione, con data logger, adatto per l'installazione all'interno e all'esterno, tensione di ingresso max. 1000 V</w:t>
      </w:r>
      <w:r>
        <w:rPr>
          <w:rFonts w:eastAsia="Times New Roman" w:cs="Arial"/>
          <w:szCs w:val="20"/>
        </w:rPr>
        <w:t xml:space="preserve">, collegamento alla rete 1000 V</w:t>
      </w:r>
      <w:r>
        <w:rPr>
          <w:rFonts w:eastAsia="Times New Roman" w:cs="Arial"/>
          <w:szCs w:val="20"/>
        </w:rPr>
        <w:t xml:space="preserve">, collegamento alla rete 1000 V </w:t>
      </w:r>
      <w:r>
        <w:rPr>
          <w:rFonts w:eastAsia="Times New Roman" w:cs="Arial"/>
          <w:szCs w:val="20"/>
        </w:rPr>
        <w:t xml:space="preserve">max. Tensione d'ingresso 1000 V, collegamento alla rete trifase 400 V/230 V, fattore di potenza da 0,8 in sovraeccitazione a 0,8 in sottoeccitazione, </w:t>
      </w:r>
      <w:r>
        <w:rPr>
          <w:rFonts w:eastAsia="Times New Roman" w:cs="Arial"/>
          <w:szCs w:val="20"/>
        </w:rPr>
        <w:t xml:space="preserve">efficienza </w:t>
      </w:r>
      <w:r w:rsidR="003B554C">
        <w:rPr>
          <w:rFonts w:eastAsia="Times New Roman" w:cs="Arial"/>
          <w:szCs w:val="20"/>
        </w:rPr>
        <w:t xml:space="preserve">massima </w:t>
      </w:r>
      <w:r w:rsidR="00FF2B82">
        <w:rPr>
          <w:rFonts w:eastAsia="Times New Roman" w:cs="Arial"/>
          <w:szCs w:val="20"/>
        </w:rPr>
        <w:t xml:space="preserve">min. </w:t>
      </w:r>
      <w:r>
        <w:rPr>
          <w:rFonts w:eastAsia="Times New Roman" w:cs="Arial"/>
          <w:szCs w:val="20"/>
        </w:rPr>
        <w:t xml:space="preserve">98</w:t>
      </w:r>
      <w:r w:rsidR="00041126">
        <w:rPr>
          <w:rFonts w:eastAsia="Times New Roman" w:cs="Arial"/>
          <w:szCs w:val="20"/>
        </w:rPr>
        <w:t xml:space="preserve">,14 </w:t>
      </w:r>
      <w:r>
        <w:rPr>
          <w:rFonts w:eastAsia="Times New Roman" w:cs="Arial"/>
          <w:szCs w:val="20"/>
        </w:rPr>
        <w:t xml:space="preserve">%, efficienza Euro </w:t>
      </w:r>
      <w:r w:rsidR="00FF2B82">
        <w:rPr>
          <w:rFonts w:eastAsia="Times New Roman" w:cs="Arial"/>
          <w:szCs w:val="20"/>
        </w:rPr>
        <w:t xml:space="preserve">min. </w:t>
      </w:r>
      <w:r>
        <w:rPr>
          <w:rFonts w:eastAsia="Times New Roman" w:cs="Arial"/>
          <w:szCs w:val="20"/>
        </w:rPr>
        <w:t xml:space="preserve">97</w:t>
      </w:r>
      <w:r w:rsidR="00041126">
        <w:rPr>
          <w:rFonts w:eastAsia="Times New Roman" w:cs="Arial"/>
          <w:szCs w:val="20"/>
        </w:rPr>
        <w:t xml:space="preserve">,49 </w:t>
      </w:r>
      <w:r>
        <w:rPr>
          <w:rFonts w:eastAsia="Times New Roman" w:cs="Arial"/>
          <w:szCs w:val="20"/>
        </w:rPr>
        <w:t xml:space="preserve">%, classe di protezione (secondo IEC 62103) I, con punto di disconnessione automatica secondo VDE 0126-1-1, grado di protezione secondo ICE 60529 IP 65, temperatura ambiente da -20 a +60 °C, topologia senza trasformatore, collegamento CC 4...6 mm² con connettori Sunclix, collegamento CA </w:t>
      </w:r>
      <w:r w:rsidR="00821EC4">
        <w:rPr>
          <w:rFonts w:eastAsia="Times New Roman" w:cs="Arial"/>
          <w:szCs w:val="20"/>
        </w:rPr>
        <w:t xml:space="preserve">2,5</w:t>
      </w:r>
      <w:r>
        <w:rPr>
          <w:rFonts w:eastAsia="Times New Roman" w:cs="Arial"/>
          <w:szCs w:val="20"/>
        </w:rPr>
        <w:t xml:space="preserve">...6 </w:t>
      </w:r>
      <w:r>
        <w:rPr>
          <w:rFonts w:eastAsia="Times New Roman" w:cs="Arial"/>
          <w:szCs w:val="20"/>
        </w:rPr>
        <w:t xml:space="preserve">mm².</w:t>
      </w:r>
      <w:r w:rsidR="00821EC4">
        <w:rPr>
          <w:rFonts w:eastAsia="Times New Roman" w:cs="Arial"/>
          <w:szCs w:val="20"/>
        </w:rPr>
        <w:t xml:space="preserve">6 </w:t>
      </w:r>
      <w:r>
        <w:rPr>
          <w:rFonts w:eastAsia="Times New Roman" w:cs="Arial"/>
          <w:szCs w:val="20"/>
        </w:rPr>
        <w:t xml:space="preserve">mm², interfacce 2x LAN, WIFI, RS 485 per la comunicazione con Smart Meter, USB, ingresso di segnale per la valutazione di una protezione da sovratensione esterna, 4 uscite relè a potenziale zero (24V, 100mA) per il controllo del carico (compatibili con SG-Ready) e interfaccia dati per il collegamento in cascata degli inverter, display, indicatori di messaggio a LED, visualizzazione tramite server web integrato, display o applicazione per smartphone possibile, con gestione delle ombre ad autoapprendimento, con Solar Portal per il monitoraggio dell'impianto FV, inclusa la notifica di errore in caso di guasto. notifica di errore </w:t>
      </w:r>
      <w:r>
        <w:rPr>
          <w:rFonts w:eastAsia="Times New Roman" w:cs="Arial"/>
          <w:szCs w:val="20"/>
        </w:rPr>
        <w:t xml:space="preserve">in caso di guasto</w:t>
      </w:r>
      <w:r>
        <w:rPr>
          <w:rFonts w:eastAsia="Times New Roman" w:cs="Arial"/>
          <w:szCs w:val="20"/>
        </w:rPr>
        <w:t xml:space="preserve">. </w:t>
      </w:r>
      <w:r>
        <w:rPr>
          <w:rFonts w:eastAsia="Times New Roman" w:cs="Arial"/>
          <w:szCs w:val="20"/>
        </w:rPr>
        <w:t xml:space="preserve">notifica di errore via e-mail in caso di guasto, integrazione smart home tramite Modbus / Sunspec (TCP), con collegamento per Energy Meter per la regolazione dinamica della potenza attiva e la misurazione dell'autoconsumo 24 ore su 24, con ingresso integrato per il collegamento diretto di un ricevitore di controllo dell'ondulazione </w:t>
      </w:r>
      <w:r w:rsidR="005B13C5">
        <w:rPr>
          <w:rFonts w:eastAsia="Times New Roman" w:cs="Arial"/>
          <w:szCs w:val="20"/>
        </w:rPr>
        <w:t xml:space="preserve">o di una centralina FNN, compatibile con EEBus</w:t>
      </w:r>
      <w:bookmarkStart w:name="_GoBack" w:id="0"/>
      <w:bookmarkEnd w:id="0"/>
      <w:r>
        <w:rPr>
          <w:rFonts w:eastAsia="Times New Roman" w:cs="Arial"/>
          <w:szCs w:val="20"/>
        </w:rPr>
        <w:t xml:space="preserve"> , aggiornamento software "AutoUpdate" via Internet, certificazione secondo VDE 0100-712 e VDE-AR-N 4105.</w:t>
      </w:r>
    </w:p>
    <w:p w:rsidRPr="00A70FDC" w:rsidR="0079728C" w:rsidP="003617A4" w:rsidRDefault="0079728C" w14:paraId="696E0B9B" w14:textId="77777777">
      <w:pPr>
        <w:tabs>
          <w:tab w:val="left" w:pos="5954"/>
        </w:tabs>
        <w:autoSpaceDE w:val="0"/>
        <w:autoSpaceDN w:val="0"/>
        <w:adjustRightInd w:val="0"/>
        <w:rPr>
          <w:rFonts w:eastAsia="Times New Roman" w:cs="Arial"/>
          <w:szCs w:val="20"/>
          <w:lang w:eastAsia="de"/>
        </w:rPr>
      </w:pPr>
    </w:p>
    <w:p w:rsidR="00A70FDC" w:rsidP="00A70FDC" w:rsidRDefault="00A70FDC" w14:paraId="141407D3" w14:textId="315E9359">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Potenza di base: 8,5 kW</w:t>
      </w:r>
    </w:p>
    <w:p w:rsidR="00A70FDC" w:rsidP="00A70FDC" w:rsidRDefault="00A70FDC" w14:paraId="5F7CECA3" w14:textId="3DBBDC7D">
      <w:pPr>
        <w:tabs>
          <w:tab w:val="left" w:pos="5954"/>
        </w:tabs>
        <w:autoSpaceDE w:val="0"/>
        <w:autoSpaceDN w:val="0"/>
        <w:adjustRightInd w:val="0"/>
        <w:rPr>
          <w:rFonts w:eastAsia="Times New Roman" w:cs="Arial"/>
          <w:szCs w:val="20"/>
        </w:rPr>
      </w:pPr>
      <w:r>
        <w:rPr>
          <w:rFonts w:eastAsia="Times New Roman" w:cs="Arial"/>
          <w:szCs w:val="20"/>
          <w:lang w:eastAsia="de-DE"/>
        </w:rPr>
        <w:t xml:space="preserve">Massima potenza di uscita (cos φ = 1) Potenza di uscita (cos φ = 1)</w:t>
      </w:r>
      <w:r>
        <w:rPr>
          <w:rFonts w:eastAsia="Times New Roman" w:cs="Arial"/>
          <w:szCs w:val="20"/>
        </w:rPr>
        <w:t xml:space="preserve">: 12,5 kVA</w:t>
      </w:r>
    </w:p>
    <w:p w:rsidR="00A70FDC" w:rsidP="00A70FDC" w:rsidRDefault="00A70FDC" w14:paraId="568F11E3" w14:textId="1A109C03">
      <w:pPr>
        <w:tabs>
          <w:tab w:val="left" w:pos="5954"/>
        </w:tabs>
        <w:autoSpaceDE w:val="0"/>
        <w:autoSpaceDN w:val="0"/>
        <w:adjustRightInd w:val="0"/>
        <w:rPr>
          <w:rFonts w:eastAsia="Times New Roman" w:cs="Arial"/>
          <w:szCs w:val="20"/>
        </w:rPr>
      </w:pPr>
      <w:r>
        <w:rPr>
          <w:rFonts w:eastAsia="Times New Roman" w:cs="Arial"/>
          <w:szCs w:val="20"/>
        </w:rPr>
        <w:t xml:space="preserve">Max. Potenza fotovoltaica: 18,75 kWp</w:t>
      </w:r>
    </w:p>
    <w:p w:rsidR="00A70FDC" w:rsidP="00A70FDC" w:rsidRDefault="00A70FDC" w14:paraId="49AE2827" w14:textId="7F957596">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Estensione di potenza opzionale livello 1: 10 kW</w:t>
      </w:r>
    </w:p>
    <w:p w:rsidR="00A70FDC" w:rsidP="00A70FDC" w:rsidRDefault="00A70FDC" w14:paraId="39472F38" w14:textId="3EC90185">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Estensione di potenza opzionale livello 2: 12,5 kW</w:t>
      </w:r>
    </w:p>
    <w:p w:rsidR="00A70FDC" w:rsidP="00A70FDC" w:rsidRDefault="00A70FDC" w14:paraId="7AEB4305" w14:textId="77777777">
      <w:pPr>
        <w:tabs>
          <w:tab w:val="left" w:pos="5954"/>
        </w:tabs>
        <w:autoSpaceDE w:val="0"/>
        <w:autoSpaceDN w:val="0"/>
        <w:adjustRightInd w:val="0"/>
        <w:rPr>
          <w:rFonts w:eastAsia="Times New Roman" w:cs="Arial"/>
          <w:szCs w:val="20"/>
        </w:rPr>
      </w:pPr>
      <w:r>
        <w:rPr>
          <w:rFonts w:eastAsia="Times New Roman" w:cs="Arial"/>
          <w:szCs w:val="20"/>
        </w:rPr>
        <w:t xml:space="preserve">Gamma di tensione operativa MPP: 75 - 900 V</w:t>
      </w:r>
    </w:p>
    <w:p w:rsidRPr="00A70FDC" w:rsidR="003617A4" w:rsidP="003617A4" w:rsidRDefault="003617A4" w14:paraId="696E0B9F" w14:textId="77777777">
      <w:pPr>
        <w:autoSpaceDE w:val="0"/>
        <w:autoSpaceDN w:val="0"/>
        <w:adjustRightInd w:val="0"/>
        <w:rPr>
          <w:rFonts w:eastAsia="Times New Roman" w:cs="Arial"/>
          <w:szCs w:val="20"/>
          <w:lang w:eastAsia="de"/>
        </w:rPr>
      </w:pPr>
    </w:p>
    <w:p w:rsidRPr="003617A4" w:rsidR="003617A4" w:rsidP="003617A4" w:rsidRDefault="003617A4" w14:paraId="696E0BA0"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Produttore/Tipo</w:t>
      </w:r>
    </w:p>
    <w:p w:rsidRPr="003617A4" w:rsidR="003617A4" w:rsidP="003617A4" w:rsidRDefault="003617A4" w14:paraId="696E0BA1" w14:textId="1BAE96BC">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Kostal / PLENTICORE </w:t>
      </w:r>
      <w:r w:rsidR="00A70FDC">
        <w:rPr>
          <w:rFonts w:eastAsia="Times New Roman" w:cs="Arial"/>
          <w:szCs w:val="20"/>
          <w:lang w:val="de" w:eastAsia="de"/>
        </w:rPr>
        <w:t xml:space="preserve">M G3</w:t>
      </w:r>
      <w:r w:rsidRPr="003617A4">
        <w:rPr>
          <w:rFonts w:eastAsia="Times New Roman" w:cs="Arial"/>
          <w:szCs w:val="20"/>
          <w:lang w:val="de" w:eastAsia="de"/>
        </w:rPr>
        <w:br/>
      </w:r>
      <w:r w:rsidRPr="003617A4">
        <w:rPr>
          <w:rFonts w:eastAsia="Times New Roman" w:cs="Arial"/>
          <w:szCs w:val="20"/>
          <w:lang w:val="de" w:eastAsia="de"/>
        </w:rPr>
        <w:t xml:space="preserve">o equivalente</w:t>
      </w:r>
    </w:p>
    <w:p w:rsidRPr="003617A4" w:rsidR="003617A4" w:rsidP="003617A4" w:rsidRDefault="003617A4" w14:paraId="696E0BA2"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Produttore/Tipo</w:t>
      </w:r>
    </w:p>
    <w:p w:rsidR="003617A4" w:rsidP="003617A4" w:rsidRDefault="003617A4" w14:paraId="696E0BA3" w14:textId="77777777">
      <w:r w:rsidRPr="003617A4">
        <w:rPr>
          <w:rFonts w:eastAsia="Times New Roman" w:cs="Arial"/>
          <w:szCs w:val="20"/>
          <w:lang w:val="de" w:eastAsia="de"/>
        </w:rPr>
        <w:t xml:space="preserve">'....................................................'</w:t>
      </w:r>
      <w:r w:rsidRPr="003617A4">
        <w:rPr>
          <w:rFonts w:eastAsia="Times New Roman" w:cs="Arial"/>
          <w:szCs w:val="20"/>
          <w:lang w:val="de" w:eastAsia="de"/>
        </w:rPr>
        <w:br/>
      </w:r>
      <w:r w:rsidRPr="003617A4">
        <w:rPr>
          <w:rFonts w:eastAsia="Times New Roman" w:cs="Arial"/>
          <w:szCs w:val="20"/>
          <w:lang w:val="de" w:eastAsia="de"/>
        </w:rPr>
        <w:t xml:space="preserve">da inserire da parte dell'offerente.</w:t>
      </w:r>
    </w:p>
    <w:sectPr w:rsidR="003617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26" w:rsidP="00041126" w:rsidRDefault="00041126" w14:paraId="39DB5513" w14:textId="77777777">
      <w:r>
        <w:separator/>
      </w:r>
    </w:p>
  </w:endnote>
  <w:endnote w:type="continuationSeparator" w:id="0">
    <w:p w:rsidR="00041126" w:rsidP="00041126" w:rsidRDefault="00041126" w14:paraId="2B2259A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26" w:rsidP="00041126" w:rsidRDefault="00041126" w14:paraId="10B2302E" w14:textId="77777777">
      <w:r>
        <w:separator/>
      </w:r>
    </w:p>
  </w:footnote>
  <w:footnote w:type="continuationSeparator" w:id="0">
    <w:p w:rsidR="00041126" w:rsidP="00041126" w:rsidRDefault="00041126" w14:paraId="384EA51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041126"/>
    <w:rsid w:val="00071466"/>
    <w:rsid w:val="00111F51"/>
    <w:rsid w:val="00294ED9"/>
    <w:rsid w:val="003617A4"/>
    <w:rsid w:val="003B554C"/>
    <w:rsid w:val="00515C82"/>
    <w:rsid w:val="005B13C5"/>
    <w:rsid w:val="0070354D"/>
    <w:rsid w:val="00721FFE"/>
    <w:rsid w:val="0079728C"/>
    <w:rsid w:val="00821EC4"/>
    <w:rsid w:val="00A70FDC"/>
    <w:rsid w:val="00D21AEF"/>
    <w:rsid w:val="00E73F75"/>
    <w:rsid w:val="00FF2B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041126"/>
    <w:pPr>
      <w:tabs>
        <w:tab w:val="center" w:pos="4536"/>
        <w:tab w:val="right" w:pos="9072"/>
      </w:tabs>
    </w:pPr>
  </w:style>
  <w:style w:type="character" w:customStyle="1" w:styleId="KopfzeileZchn">
    <w:name w:val="Kopfzeile Zchn"/>
    <w:basedOn w:val="Absatz-Standardschriftart"/>
    <w:link w:val="Kopfzeile"/>
    <w:uiPriority w:val="99"/>
    <w:rsid w:val="00041126"/>
    <w:rPr>
      <w:rFonts w:ascii="Arial" w:hAnsi="Arial"/>
      <w:sz w:val="20"/>
    </w:rPr>
  </w:style>
  <w:style w:type="paragraph" w:styleId="Fuzeile">
    <w:name w:val="footer"/>
    <w:basedOn w:val="Standard"/>
    <w:link w:val="FuzeileZchn"/>
    <w:uiPriority w:val="99"/>
    <w:unhideWhenUsed/>
    <w:rsid w:val="00041126"/>
    <w:pPr>
      <w:tabs>
        <w:tab w:val="center" w:pos="4536"/>
        <w:tab w:val="right" w:pos="9072"/>
      </w:tabs>
    </w:pPr>
  </w:style>
  <w:style w:type="character" w:customStyle="1" w:styleId="FuzeileZchn">
    <w:name w:val="Fußzeile Zchn"/>
    <w:basedOn w:val="Absatz-Standardschriftart"/>
    <w:link w:val="Fuzeile"/>
    <w:uiPriority w:val="99"/>
    <w:rsid w:val="0004112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6366095-a18c-4cb3-a1ea-2fdfefee63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735780-CFBC-4438-AC5D-B47E32D6FC29}">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4.xml><?xml version="1.0" encoding="utf-8"?>
<ds:datastoreItem xmlns:ds="http://schemas.openxmlformats.org/officeDocument/2006/customXml" ds:itemID="{411CDB7E-4065-49E4-BDF0-C008150957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docId:7BB5EADC6BABE0F52ADE585900987515</keywords>
  <dc:description/>
  <lastModifiedBy>Schmalenberg, Andreas</lastModifiedBy>
  <revision>14</revision>
  <dcterms:created xsi:type="dcterms:W3CDTF">2021-12-09T10:01:00.0000000Z</dcterms:created>
  <dcterms:modified xsi:type="dcterms:W3CDTF">2025-06-05T10:18:00.0000000Z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